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drawings/drawing1.xml" ContentType="application/vnd.openxmlformats-officedocument.drawingml.chartshapes+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772" w:rsidRPr="00AD70D8" w:rsidRDefault="00945772" w:rsidP="00796931">
      <w:pPr>
        <w:pStyle w:val="Heading6"/>
        <w:bidi w:val="0"/>
        <w:rPr>
          <w:b w:val="0"/>
          <w:bCs w:val="0"/>
        </w:rPr>
      </w:pPr>
      <w:r w:rsidRPr="00AD70D8">
        <w:rPr>
          <w:b w:val="0"/>
          <w:bCs w:val="0"/>
        </w:rPr>
        <w:t>Chapter Two</w:t>
      </w:r>
    </w:p>
    <w:p w:rsidR="00945772" w:rsidRPr="00AD70D8" w:rsidRDefault="00945772" w:rsidP="00796931">
      <w:pPr>
        <w:rPr>
          <w:sz w:val="24"/>
          <w:szCs w:val="24"/>
        </w:rPr>
      </w:pPr>
    </w:p>
    <w:p w:rsidR="002F57CD" w:rsidRPr="00AD70D8" w:rsidRDefault="002F57CD" w:rsidP="00796931">
      <w:pPr>
        <w:pStyle w:val="Heading6"/>
        <w:bidi w:val="0"/>
        <w:rPr>
          <w:sz w:val="24"/>
          <w:szCs w:val="24"/>
        </w:rPr>
      </w:pPr>
      <w:r w:rsidRPr="00AD70D8">
        <w:rPr>
          <w:sz w:val="24"/>
          <w:szCs w:val="24"/>
        </w:rPr>
        <w:t>Summary</w:t>
      </w:r>
    </w:p>
    <w:p w:rsidR="002F57CD" w:rsidRPr="00AD70D8" w:rsidRDefault="002F57CD" w:rsidP="00796931">
      <w:pPr>
        <w:ind w:left="288"/>
        <w:jc w:val="both"/>
        <w:rPr>
          <w:rFonts w:cs="Traditional Arabic"/>
          <w:b/>
          <w:bCs/>
        </w:rPr>
      </w:pPr>
    </w:p>
    <w:p w:rsidR="00E77384" w:rsidRPr="003C0C36" w:rsidRDefault="00E77384" w:rsidP="003C0C36">
      <w:pPr>
        <w:pStyle w:val="BodyTextIndent"/>
        <w:numPr>
          <w:ilvl w:val="0"/>
          <w:numId w:val="21"/>
        </w:numPr>
        <w:bidi w:val="0"/>
        <w:ind w:left="210" w:hanging="210"/>
        <w:jc w:val="both"/>
        <w:rPr>
          <w:b/>
          <w:bCs/>
          <w:sz w:val="22"/>
          <w:szCs w:val="22"/>
        </w:rPr>
      </w:pPr>
      <w:r w:rsidRPr="003C0C36">
        <w:rPr>
          <w:b/>
          <w:bCs/>
          <w:sz w:val="22"/>
          <w:szCs w:val="22"/>
        </w:rPr>
        <w:t>Population</w:t>
      </w:r>
    </w:p>
    <w:p w:rsidR="00D238E1" w:rsidRPr="00AD70D8" w:rsidRDefault="00D238E1" w:rsidP="00C56734">
      <w:pPr>
        <w:numPr>
          <w:ilvl w:val="0"/>
          <w:numId w:val="3"/>
        </w:numPr>
        <w:tabs>
          <w:tab w:val="clear" w:pos="720"/>
          <w:tab w:val="num" w:pos="284"/>
        </w:tabs>
        <w:spacing w:before="80"/>
        <w:ind w:left="284" w:right="0" w:hanging="284"/>
        <w:jc w:val="lowKashida"/>
        <w:rPr>
          <w:rFonts w:asciiTheme="majorBidi" w:hAnsiTheme="majorBidi" w:cstheme="majorBidi"/>
        </w:rPr>
      </w:pPr>
      <w:r w:rsidRPr="00AD70D8">
        <w:rPr>
          <w:rFonts w:asciiTheme="majorBidi" w:hAnsiTheme="majorBidi" w:cstheme="majorBidi"/>
        </w:rPr>
        <w:t>The estimated population of Jerusalem Governorate in mid-</w:t>
      </w:r>
      <w:r w:rsidRPr="00AD70D8">
        <w:rPr>
          <w:rFonts w:asciiTheme="majorBidi" w:hAnsiTheme="majorBidi" w:cstheme="majorBidi" w:hint="cs"/>
          <w:rtl/>
        </w:rPr>
        <w:t>2020</w:t>
      </w:r>
      <w:r w:rsidRPr="00AD70D8">
        <w:rPr>
          <w:rFonts w:asciiTheme="majorBidi" w:hAnsiTheme="majorBidi" w:cstheme="majorBidi"/>
        </w:rPr>
        <w:t xml:space="preserve"> was about </w:t>
      </w:r>
      <w:r w:rsidRPr="00AD70D8">
        <w:rPr>
          <w:rFonts w:cs="Simplified Arabic"/>
        </w:rPr>
        <w:t>461,</w:t>
      </w:r>
      <w:r w:rsidR="00C56734">
        <w:rPr>
          <w:rFonts w:cs="Simplified Arabic"/>
        </w:rPr>
        <w:t>700</w:t>
      </w:r>
      <w:r w:rsidR="00FE62FE">
        <w:rPr>
          <w:rFonts w:cs="Simplified Arabic"/>
        </w:rPr>
        <w:t xml:space="preserve"> </w:t>
      </w:r>
      <w:r w:rsidRPr="00AD70D8">
        <w:rPr>
          <w:rFonts w:asciiTheme="majorBidi" w:hAnsiTheme="majorBidi" w:cstheme="majorBidi"/>
        </w:rPr>
        <w:t xml:space="preserve">people. The estimated population in the governorate represented 9.1% of the total population in Palestine and 15.1% of the total population in the West Bank. </w:t>
      </w:r>
    </w:p>
    <w:p w:rsidR="00D238E1" w:rsidRPr="00AD70D8" w:rsidRDefault="00D238E1" w:rsidP="007A434A">
      <w:pPr>
        <w:numPr>
          <w:ilvl w:val="0"/>
          <w:numId w:val="3"/>
        </w:numPr>
        <w:tabs>
          <w:tab w:val="clear" w:pos="720"/>
          <w:tab w:val="num" w:pos="284"/>
        </w:tabs>
        <w:spacing w:before="80"/>
        <w:ind w:left="284" w:right="0" w:hanging="284"/>
        <w:jc w:val="lowKashida"/>
        <w:rPr>
          <w:rFonts w:asciiTheme="majorBidi" w:hAnsiTheme="majorBidi" w:cstheme="majorBidi"/>
        </w:rPr>
      </w:pPr>
      <w:r w:rsidRPr="00AD70D8">
        <w:rPr>
          <w:rFonts w:asciiTheme="majorBidi" w:hAnsiTheme="majorBidi" w:cstheme="majorBidi"/>
        </w:rPr>
        <w:t xml:space="preserve"> In </w:t>
      </w:r>
      <w:r w:rsidR="007A434A">
        <w:rPr>
          <w:rFonts w:asciiTheme="majorBidi" w:hAnsiTheme="majorBidi" w:cstheme="majorBidi"/>
        </w:rPr>
        <w:t>2017</w:t>
      </w:r>
      <w:r w:rsidRPr="00AD70D8">
        <w:rPr>
          <w:rFonts w:asciiTheme="majorBidi" w:hAnsiTheme="majorBidi" w:cstheme="majorBidi"/>
        </w:rPr>
        <w:t>, the sex ratio in Jerusalem Governorate was 107.6 males per 100 females</w:t>
      </w:r>
    </w:p>
    <w:p w:rsidR="00DC6219" w:rsidRDefault="00DC6219" w:rsidP="00DC6219">
      <w:pPr>
        <w:pStyle w:val="BodyTextIndent"/>
        <w:tabs>
          <w:tab w:val="num" w:pos="0"/>
        </w:tabs>
        <w:bidi w:val="0"/>
        <w:ind w:firstLine="0"/>
        <w:jc w:val="both"/>
        <w:rPr>
          <w:b/>
          <w:bCs/>
        </w:rPr>
      </w:pPr>
    </w:p>
    <w:tbl>
      <w:tblPr>
        <w:tblStyle w:val="TableGrid"/>
        <w:tblW w:w="4858" w:type="pct"/>
        <w:tblInd w:w="108" w:type="dxa"/>
        <w:tblLayout w:type="fixed"/>
        <w:tblLook w:val="04A0" w:firstRow="1" w:lastRow="0" w:firstColumn="1" w:lastColumn="0" w:noHBand="0" w:noVBand="1"/>
      </w:tblPr>
      <w:tblGrid>
        <w:gridCol w:w="7372"/>
      </w:tblGrid>
      <w:tr w:rsidR="00A27729" w:rsidRPr="00AD70D8" w:rsidTr="00A27729">
        <w:tc>
          <w:tcPr>
            <w:tcW w:w="5000" w:type="pct"/>
          </w:tcPr>
          <w:p w:rsidR="00A27729" w:rsidRPr="00AD70D8" w:rsidRDefault="00A27729" w:rsidP="00A27729">
            <w:pPr>
              <w:pStyle w:val="BodyTextIndent"/>
              <w:tabs>
                <w:tab w:val="num" w:pos="0"/>
              </w:tabs>
              <w:bidi w:val="0"/>
              <w:ind w:firstLine="0"/>
              <w:jc w:val="left"/>
              <w:rPr>
                <w:b/>
                <w:bCs/>
              </w:rPr>
            </w:pPr>
            <w:r w:rsidRPr="00A27729">
              <w:rPr>
                <w:b/>
                <w:bCs/>
                <w:noProof/>
              </w:rPr>
              <w:drawing>
                <wp:inline distT="0" distB="0" distL="0" distR="0">
                  <wp:extent cx="4679242" cy="2394354"/>
                  <wp:effectExtent l="0" t="0" r="0" b="0"/>
                  <wp:docPr id="4" name="Picture 4" descr="G:\كتاب القدس الاحصائي السنوي المفرغ2021\خرائط\Population_Num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كتاب القدس الاحصائي السنوي المفرغ2021\خرائط\Population_Num_En.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4205" b="22763"/>
                          <a:stretch/>
                        </pic:blipFill>
                        <pic:spPr bwMode="auto">
                          <a:xfrm>
                            <a:off x="0" y="0"/>
                            <a:ext cx="4681937" cy="2395733"/>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E728D" w:rsidRDefault="00CE728D" w:rsidP="00CE728D">
      <w:pPr>
        <w:jc w:val="both"/>
        <w:rPr>
          <w:b/>
          <w:bCs/>
        </w:rPr>
      </w:pPr>
    </w:p>
    <w:p w:rsidR="00CE728D" w:rsidRPr="00AD70D8" w:rsidRDefault="00CE728D" w:rsidP="00CE728D">
      <w:pPr>
        <w:jc w:val="both"/>
        <w:rPr>
          <w:b/>
          <w:bCs/>
        </w:rPr>
      </w:pPr>
      <w:r w:rsidRPr="00AD70D8">
        <w:rPr>
          <w:b/>
          <w:bCs/>
        </w:rPr>
        <w:t>Population Density</w:t>
      </w:r>
    </w:p>
    <w:p w:rsidR="00CE728D" w:rsidRPr="00AD70D8" w:rsidRDefault="00CE728D" w:rsidP="00CE728D">
      <w:pPr>
        <w:pStyle w:val="BodyTextIndent"/>
        <w:numPr>
          <w:ilvl w:val="0"/>
          <w:numId w:val="1"/>
        </w:numPr>
        <w:tabs>
          <w:tab w:val="left" w:pos="284"/>
        </w:tabs>
        <w:bidi w:val="0"/>
        <w:spacing w:before="80"/>
        <w:ind w:left="284" w:hanging="284"/>
        <w:rPr>
          <w:rFonts w:cs="Times New Roman"/>
        </w:rPr>
      </w:pPr>
      <w:r w:rsidRPr="00AD70D8">
        <w:rPr>
          <w:rFonts w:cs="Times New Roman"/>
        </w:rPr>
        <w:t>The total area of Jerusalem Governorate is 345 km</w:t>
      </w:r>
      <w:r w:rsidRPr="00AD70D8">
        <w:rPr>
          <w:rFonts w:cs="Times New Roman"/>
          <w:vertAlign w:val="superscript"/>
        </w:rPr>
        <w:t>2</w:t>
      </w:r>
      <w:r w:rsidRPr="00AD70D8">
        <w:rPr>
          <w:rFonts w:cs="Times New Roman"/>
        </w:rPr>
        <w:t>.</w:t>
      </w:r>
    </w:p>
    <w:p w:rsidR="00CE728D" w:rsidRPr="00AD70D8" w:rsidRDefault="00CE728D" w:rsidP="00CE728D">
      <w:pPr>
        <w:pStyle w:val="BodyTextIndent"/>
        <w:numPr>
          <w:ilvl w:val="0"/>
          <w:numId w:val="1"/>
        </w:numPr>
        <w:tabs>
          <w:tab w:val="left" w:pos="284"/>
        </w:tabs>
        <w:bidi w:val="0"/>
        <w:spacing w:before="80"/>
        <w:ind w:left="284" w:right="0" w:hanging="284"/>
        <w:rPr>
          <w:rFonts w:cs="Times New Roman"/>
        </w:rPr>
      </w:pPr>
      <w:r w:rsidRPr="00AD70D8">
        <w:rPr>
          <w:rFonts w:cs="Times New Roman"/>
        </w:rPr>
        <w:t>The population density in Jerusalem Governorate was 1,322 (capita/km</w:t>
      </w:r>
      <w:r w:rsidRPr="00AD70D8">
        <w:rPr>
          <w:rFonts w:cs="Times New Roman"/>
          <w:vertAlign w:val="superscript"/>
        </w:rPr>
        <w:t>2</w:t>
      </w:r>
      <w:r w:rsidRPr="00AD70D8">
        <w:rPr>
          <w:rFonts w:cs="Times New Roman"/>
        </w:rPr>
        <w:t>) at                mid-year 2020.</w:t>
      </w:r>
    </w:p>
    <w:p w:rsidR="00CE728D" w:rsidRPr="00AD70D8" w:rsidRDefault="00CE728D" w:rsidP="00CE728D">
      <w:pPr>
        <w:pStyle w:val="Heading5"/>
        <w:spacing w:before="0"/>
        <w:jc w:val="center"/>
        <w:rPr>
          <w:rFonts w:ascii="Arial" w:hAnsi="Arial" w:cs="Arial"/>
          <w:b/>
          <w:bCs/>
          <w:color w:val="auto"/>
          <w:sz w:val="18"/>
          <w:szCs w:val="18"/>
        </w:rPr>
      </w:pPr>
    </w:p>
    <w:p w:rsidR="00CE728D" w:rsidRPr="00AD70D8" w:rsidRDefault="00CE728D" w:rsidP="00CE728D">
      <w:pPr>
        <w:pStyle w:val="Heading5"/>
        <w:spacing w:before="0"/>
        <w:jc w:val="center"/>
        <w:rPr>
          <w:rFonts w:ascii="Arial" w:hAnsi="Arial" w:cs="Arial"/>
          <w:b/>
          <w:bCs/>
          <w:color w:val="auto"/>
          <w:sz w:val="18"/>
          <w:szCs w:val="18"/>
        </w:rPr>
      </w:pPr>
      <w:r w:rsidRPr="00AD70D8">
        <w:rPr>
          <w:rFonts w:ascii="Arial" w:hAnsi="Arial" w:cs="Arial"/>
          <w:b/>
          <w:bCs/>
          <w:color w:val="auto"/>
          <w:sz w:val="18"/>
          <w:szCs w:val="18"/>
        </w:rPr>
        <w:t>Population Density (Capita/km</w:t>
      </w:r>
      <w:r w:rsidRPr="00AD70D8">
        <w:rPr>
          <w:rFonts w:ascii="Arial" w:hAnsi="Arial" w:cs="Arial"/>
          <w:b/>
          <w:bCs/>
          <w:color w:val="auto"/>
          <w:sz w:val="18"/>
          <w:szCs w:val="18"/>
          <w:vertAlign w:val="superscript"/>
        </w:rPr>
        <w:t>2</w:t>
      </w:r>
      <w:r w:rsidRPr="00AD70D8">
        <w:rPr>
          <w:rFonts w:ascii="Arial" w:hAnsi="Arial" w:cs="Arial"/>
          <w:b/>
          <w:bCs/>
          <w:color w:val="auto"/>
          <w:sz w:val="18"/>
          <w:szCs w:val="18"/>
        </w:rPr>
        <w:t>)</w:t>
      </w:r>
      <w:r w:rsidRPr="00AD70D8">
        <w:rPr>
          <w:rFonts w:ascii="Arial" w:hAnsi="Arial" w:cs="Arial" w:hint="cs"/>
          <w:b/>
          <w:bCs/>
          <w:color w:val="auto"/>
          <w:sz w:val="18"/>
          <w:szCs w:val="18"/>
          <w:rtl/>
        </w:rPr>
        <w:t xml:space="preserve"> </w:t>
      </w:r>
      <w:r w:rsidRPr="00AD70D8">
        <w:rPr>
          <w:rFonts w:ascii="Arial" w:hAnsi="Arial" w:cs="Arial"/>
          <w:b/>
          <w:bCs/>
          <w:color w:val="auto"/>
          <w:sz w:val="18"/>
          <w:szCs w:val="18"/>
        </w:rPr>
        <w:t>by Region, Mid-Year 2020</w:t>
      </w:r>
    </w:p>
    <w:p w:rsidR="00CE728D" w:rsidRPr="00AD70D8" w:rsidRDefault="00CE728D" w:rsidP="00CE728D">
      <w:pPr>
        <w:rPr>
          <w:sz w:val="6"/>
          <w:szCs w:val="6"/>
        </w:rPr>
      </w:pPr>
    </w:p>
    <w:p w:rsidR="00CE728D" w:rsidRPr="00AD70D8" w:rsidRDefault="00CE728D" w:rsidP="00CE728D">
      <w:pPr>
        <w:pStyle w:val="BodyText"/>
        <w:jc w:val="center"/>
        <w:rPr>
          <w:b/>
          <w:bCs/>
          <w:rtl/>
        </w:rPr>
      </w:pPr>
      <w:r w:rsidRPr="00AD70D8">
        <w:rPr>
          <w:b/>
          <w:bCs/>
          <w:noProof/>
          <w:rtl/>
        </w:rPr>
        <w:drawing>
          <wp:inline distT="0" distB="0" distL="0" distR="0" wp14:anchorId="3E4559D6" wp14:editId="05944156">
            <wp:extent cx="4318045" cy="1745088"/>
            <wp:effectExtent l="0" t="0" r="0" b="0"/>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E728D" w:rsidRPr="00AD70D8" w:rsidRDefault="00CE728D" w:rsidP="00CE728D">
      <w:pPr>
        <w:rPr>
          <w:rFonts w:ascii="Arial" w:hAnsi="Arial" w:cs="Arial"/>
          <w:sz w:val="10"/>
          <w:szCs w:val="10"/>
        </w:rPr>
      </w:pPr>
      <w:r w:rsidRPr="00AD70D8">
        <w:rPr>
          <w:rFonts w:ascii="Arial" w:hAnsi="Arial" w:cs="Arial"/>
          <w:sz w:val="16"/>
          <w:szCs w:val="16"/>
          <w:rtl/>
        </w:rPr>
        <w:t>:*</w:t>
      </w:r>
      <w:r w:rsidRPr="00AD70D8">
        <w:rPr>
          <w:rFonts w:ascii="Arial" w:hAnsi="Arial" w:cs="Arial" w:hint="cs"/>
          <w:sz w:val="16"/>
          <w:szCs w:val="16"/>
          <w:rtl/>
        </w:rPr>
        <w:t xml:space="preserve">       </w:t>
      </w:r>
      <w:r w:rsidRPr="00AD70D8">
        <w:rPr>
          <w:rFonts w:ascii="Arial" w:hAnsi="Arial" w:cs="Arial"/>
          <w:sz w:val="16"/>
          <w:szCs w:val="16"/>
        </w:rPr>
        <w:t xml:space="preserve"> Data include</w:t>
      </w:r>
      <w:r w:rsidR="001A11AE">
        <w:rPr>
          <w:rFonts w:ascii="Arial" w:hAnsi="Arial" w:cs="Arial"/>
          <w:sz w:val="16"/>
          <w:szCs w:val="16"/>
        </w:rPr>
        <w:t>s</w:t>
      </w:r>
      <w:r w:rsidRPr="00AD70D8">
        <w:rPr>
          <w:rFonts w:ascii="Arial" w:hAnsi="Arial" w:cs="Arial"/>
          <w:sz w:val="16"/>
          <w:szCs w:val="16"/>
        </w:rPr>
        <w:t xml:space="preserve"> Jerusalem Governorate.</w:t>
      </w:r>
    </w:p>
    <w:p w:rsidR="00E77384" w:rsidRPr="003C0C36" w:rsidRDefault="00E77384" w:rsidP="00CE728D">
      <w:pPr>
        <w:pStyle w:val="BodyTextIndent"/>
        <w:numPr>
          <w:ilvl w:val="0"/>
          <w:numId w:val="21"/>
        </w:numPr>
        <w:bidi w:val="0"/>
        <w:ind w:left="210" w:hanging="210"/>
        <w:jc w:val="both"/>
        <w:rPr>
          <w:b/>
          <w:bCs/>
          <w:sz w:val="22"/>
          <w:szCs w:val="22"/>
        </w:rPr>
      </w:pPr>
      <w:r w:rsidRPr="003C0C36">
        <w:rPr>
          <w:b/>
          <w:bCs/>
          <w:sz w:val="22"/>
          <w:szCs w:val="22"/>
        </w:rPr>
        <w:lastRenderedPageBreak/>
        <w:t>Vital Statistics</w:t>
      </w:r>
    </w:p>
    <w:p w:rsidR="00D238E1" w:rsidRPr="00AD70D8" w:rsidRDefault="00D238E1" w:rsidP="00A27729">
      <w:pPr>
        <w:numPr>
          <w:ilvl w:val="0"/>
          <w:numId w:val="3"/>
        </w:numPr>
        <w:tabs>
          <w:tab w:val="clear" w:pos="720"/>
          <w:tab w:val="num" w:pos="284"/>
        </w:tabs>
        <w:ind w:left="284" w:right="0" w:hanging="284"/>
        <w:jc w:val="lowKashida"/>
        <w:rPr>
          <w:rFonts w:asciiTheme="majorBidi" w:hAnsiTheme="majorBidi" w:cstheme="majorBidi"/>
        </w:rPr>
      </w:pPr>
      <w:r w:rsidRPr="00AD70D8">
        <w:rPr>
          <w:rFonts w:asciiTheme="majorBidi" w:hAnsiTheme="majorBidi" w:cstheme="majorBidi"/>
        </w:rPr>
        <w:t>The number of registered live births in Jerusalem Governorate with Palestinian ID cards was 3,615 in 2015, 3,637 in 2016, 3,601 in 2017, 3,783 in 2018, and 3,587 in 2019.  Registered deaths for the same years were 318, 361, 341, 295, and 341 respectively.</w:t>
      </w:r>
    </w:p>
    <w:p w:rsidR="00D238E1" w:rsidRPr="00AD70D8" w:rsidRDefault="00D238E1" w:rsidP="00A27729">
      <w:pPr>
        <w:numPr>
          <w:ilvl w:val="0"/>
          <w:numId w:val="3"/>
        </w:numPr>
        <w:tabs>
          <w:tab w:val="clear" w:pos="720"/>
          <w:tab w:val="num" w:pos="284"/>
        </w:tabs>
        <w:ind w:left="284" w:right="0" w:hanging="284"/>
        <w:jc w:val="lowKashida"/>
        <w:rPr>
          <w:rFonts w:asciiTheme="majorBidi" w:hAnsiTheme="majorBidi" w:cstheme="majorBidi"/>
        </w:rPr>
      </w:pPr>
      <w:r w:rsidRPr="00AD70D8">
        <w:rPr>
          <w:rFonts w:ascii="Simplified Arabic" w:hAnsi="Simplified Arabic" w:cs="Simplified Arabic"/>
        </w:rPr>
        <w:t>3</w:t>
      </w:r>
      <w:r w:rsidR="005E4B6B" w:rsidRPr="00AD70D8">
        <w:rPr>
          <w:rFonts w:ascii="Simplified Arabic" w:hAnsi="Simplified Arabic" w:cs="Simplified Arabic"/>
        </w:rPr>
        <w:t>,</w:t>
      </w:r>
      <w:r w:rsidRPr="00AD70D8">
        <w:rPr>
          <w:rFonts w:ascii="Simplified Arabic" w:hAnsi="Simplified Arabic" w:cs="Simplified Arabic"/>
        </w:rPr>
        <w:t>056</w:t>
      </w:r>
      <w:r w:rsidRPr="00AD70D8">
        <w:rPr>
          <w:rFonts w:ascii="Simplified Arabic" w:hAnsi="Simplified Arabic" w:cs="Simplified Arabic" w:hint="cs"/>
          <w:rtl/>
        </w:rPr>
        <w:t xml:space="preserve"> </w:t>
      </w:r>
      <w:r w:rsidRPr="00AD70D8">
        <w:rPr>
          <w:rFonts w:asciiTheme="majorBidi" w:hAnsiTheme="majorBidi" w:cstheme="majorBidi"/>
        </w:rPr>
        <w:t xml:space="preserve">marriage contracts were signed in Shariah courts and churches in Jerusalem Governorate in 2019. </w:t>
      </w:r>
    </w:p>
    <w:p w:rsidR="00D238E1" w:rsidRPr="00AD70D8" w:rsidRDefault="00D238E1" w:rsidP="00A27729">
      <w:pPr>
        <w:numPr>
          <w:ilvl w:val="0"/>
          <w:numId w:val="3"/>
        </w:numPr>
        <w:tabs>
          <w:tab w:val="clear" w:pos="720"/>
          <w:tab w:val="num" w:pos="284"/>
        </w:tabs>
        <w:ind w:left="284" w:right="0" w:hanging="284"/>
        <w:jc w:val="lowKashida"/>
        <w:rPr>
          <w:rFonts w:asciiTheme="majorBidi" w:hAnsiTheme="majorBidi" w:cstheme="majorBidi"/>
        </w:rPr>
      </w:pPr>
      <w:r w:rsidRPr="00AD70D8">
        <w:rPr>
          <w:rFonts w:asciiTheme="majorBidi" w:hAnsiTheme="majorBidi" w:cstheme="majorBidi"/>
        </w:rPr>
        <w:t xml:space="preserve">There were </w:t>
      </w:r>
      <w:r w:rsidRPr="00AD70D8">
        <w:rPr>
          <w:rFonts w:ascii="Simplified Arabic" w:hAnsi="Simplified Arabic" w:cs="Simplified Arabic"/>
        </w:rPr>
        <w:t>525</w:t>
      </w:r>
      <w:r w:rsidRPr="00AD70D8">
        <w:rPr>
          <w:rFonts w:asciiTheme="majorBidi" w:hAnsiTheme="majorBidi" w:cstheme="majorBidi"/>
        </w:rPr>
        <w:t xml:space="preserve"> divorce cases in Shariah courts in Jerusalem Governorate in 2019. </w:t>
      </w:r>
    </w:p>
    <w:p w:rsidR="00480A4D" w:rsidRPr="00AD70D8" w:rsidRDefault="00480A4D" w:rsidP="00A27729">
      <w:pPr>
        <w:ind w:right="-1"/>
        <w:jc w:val="center"/>
        <w:rPr>
          <w:rFonts w:ascii="Arial" w:hAnsi="Arial" w:cs="Arial"/>
          <w:b/>
          <w:bCs/>
        </w:rPr>
      </w:pPr>
    </w:p>
    <w:p w:rsidR="00235977" w:rsidRPr="00A27729" w:rsidRDefault="00235977" w:rsidP="00A27729">
      <w:pPr>
        <w:ind w:right="-1"/>
        <w:jc w:val="center"/>
        <w:rPr>
          <w:rFonts w:ascii="Arial" w:hAnsi="Arial" w:cs="Arial"/>
          <w:b/>
          <w:bCs/>
          <w:sz w:val="18"/>
          <w:szCs w:val="18"/>
        </w:rPr>
      </w:pPr>
      <w:r w:rsidRPr="00AD70D8">
        <w:rPr>
          <w:rFonts w:ascii="Arial" w:hAnsi="Arial" w:cs="Arial"/>
          <w:b/>
          <w:bCs/>
          <w:sz w:val="18"/>
          <w:szCs w:val="18"/>
        </w:rPr>
        <w:t xml:space="preserve">Median Age at the First Marriage in Palestine and Jerusalem Governorate by           Sex, </w:t>
      </w:r>
      <w:r w:rsidR="00A27729">
        <w:rPr>
          <w:rFonts w:ascii="Arial" w:hAnsi="Arial" w:cs="Arial" w:hint="cs"/>
          <w:b/>
          <w:bCs/>
          <w:sz w:val="18"/>
          <w:szCs w:val="18"/>
          <w:rtl/>
        </w:rPr>
        <w:t>2019</w:t>
      </w:r>
    </w:p>
    <w:p w:rsidR="00235977" w:rsidRPr="00AD70D8" w:rsidRDefault="00235977" w:rsidP="00235977">
      <w:pPr>
        <w:jc w:val="center"/>
      </w:pPr>
      <w:r w:rsidRPr="00AD70D8">
        <w:rPr>
          <w:noProof/>
          <w:bdr w:val="single" w:sz="4" w:space="0" w:color="auto"/>
        </w:rPr>
        <w:drawing>
          <wp:inline distT="0" distB="0" distL="0" distR="0" wp14:anchorId="256A4DC4" wp14:editId="7A3612DE">
            <wp:extent cx="4831798" cy="143097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32EF4" w:rsidRDefault="00232EF4" w:rsidP="00232EF4">
      <w:pPr>
        <w:pStyle w:val="BodyTextIndent"/>
        <w:bidi w:val="0"/>
        <w:ind w:left="210" w:firstLine="0"/>
        <w:jc w:val="both"/>
        <w:rPr>
          <w:b/>
          <w:bCs/>
          <w:sz w:val="22"/>
          <w:szCs w:val="22"/>
        </w:rPr>
      </w:pPr>
    </w:p>
    <w:p w:rsidR="00E4320D" w:rsidRPr="003C0C36" w:rsidRDefault="00E4320D" w:rsidP="00232EF4">
      <w:pPr>
        <w:pStyle w:val="BodyTextIndent"/>
        <w:numPr>
          <w:ilvl w:val="0"/>
          <w:numId w:val="21"/>
        </w:numPr>
        <w:bidi w:val="0"/>
        <w:ind w:left="210" w:hanging="210"/>
        <w:jc w:val="both"/>
        <w:rPr>
          <w:b/>
          <w:bCs/>
          <w:sz w:val="22"/>
          <w:szCs w:val="22"/>
        </w:rPr>
      </w:pPr>
      <w:r w:rsidRPr="003C0C36">
        <w:rPr>
          <w:b/>
          <w:bCs/>
          <w:sz w:val="22"/>
          <w:szCs w:val="22"/>
        </w:rPr>
        <w:t xml:space="preserve">Health </w:t>
      </w:r>
    </w:p>
    <w:p w:rsidR="00DF3D0E" w:rsidRPr="00AD70D8" w:rsidRDefault="00DF3D0E" w:rsidP="00232EF4">
      <w:pPr>
        <w:numPr>
          <w:ilvl w:val="0"/>
          <w:numId w:val="5"/>
        </w:numPr>
        <w:spacing w:before="80"/>
        <w:ind w:left="357" w:right="0" w:hanging="357"/>
        <w:jc w:val="lowKashida"/>
        <w:rPr>
          <w:rFonts w:asciiTheme="majorBidi" w:hAnsiTheme="majorBidi" w:cstheme="majorBidi"/>
        </w:rPr>
      </w:pPr>
      <w:r w:rsidRPr="00AD70D8">
        <w:rPr>
          <w:rFonts w:asciiTheme="majorBidi" w:hAnsiTheme="majorBidi" w:cstheme="majorBidi"/>
        </w:rPr>
        <w:t>There were 7 hospitals in Jerusalem Governorate with</w:t>
      </w:r>
      <w:r w:rsidR="00232EF4">
        <w:rPr>
          <w:rFonts w:asciiTheme="majorBidi" w:hAnsiTheme="majorBidi" w:cstheme="majorBidi" w:hint="cs"/>
          <w:rtl/>
        </w:rPr>
        <w:t xml:space="preserve"> </w:t>
      </w:r>
      <w:r w:rsidR="00232EF4">
        <w:rPr>
          <w:rFonts w:asciiTheme="majorBidi" w:hAnsiTheme="majorBidi" w:cstheme="majorBidi"/>
        </w:rPr>
        <w:t>716</w:t>
      </w:r>
      <w:r w:rsidRPr="00AD70D8">
        <w:rPr>
          <w:rFonts w:asciiTheme="majorBidi" w:hAnsiTheme="majorBidi" w:cstheme="majorBidi" w:hint="cs"/>
          <w:rtl/>
        </w:rPr>
        <w:t xml:space="preserve"> </w:t>
      </w:r>
      <w:r w:rsidRPr="00AD70D8">
        <w:rPr>
          <w:rFonts w:asciiTheme="majorBidi" w:hAnsiTheme="majorBidi" w:cstheme="majorBidi"/>
        </w:rPr>
        <w:t xml:space="preserve"> beds in </w:t>
      </w:r>
      <w:r w:rsidR="00232EF4">
        <w:rPr>
          <w:rFonts w:asciiTheme="majorBidi" w:hAnsiTheme="majorBidi" w:cstheme="majorBidi"/>
        </w:rPr>
        <w:t>2020</w:t>
      </w:r>
      <w:r w:rsidRPr="00AD70D8">
        <w:rPr>
          <w:rFonts w:asciiTheme="majorBidi" w:hAnsiTheme="majorBidi" w:cstheme="majorBidi"/>
        </w:rPr>
        <w:t>.</w:t>
      </w:r>
    </w:p>
    <w:p w:rsidR="00DF3D0E" w:rsidRPr="00AD70D8" w:rsidRDefault="00DF3D0E" w:rsidP="00DF3D0E">
      <w:pPr>
        <w:numPr>
          <w:ilvl w:val="0"/>
          <w:numId w:val="5"/>
        </w:numPr>
        <w:spacing w:before="80"/>
        <w:ind w:left="357" w:right="0" w:hanging="357"/>
        <w:jc w:val="lowKashida"/>
        <w:rPr>
          <w:rFonts w:asciiTheme="majorBidi" w:hAnsiTheme="majorBidi" w:cstheme="majorBidi"/>
        </w:rPr>
      </w:pPr>
      <w:r w:rsidRPr="00AD70D8">
        <w:rPr>
          <w:rFonts w:asciiTheme="majorBidi" w:hAnsiTheme="majorBidi" w:cstheme="majorBidi"/>
        </w:rPr>
        <w:t xml:space="preserve">The total number of discharges from Jerusalem hospitals was </w:t>
      </w:r>
      <w:r w:rsidRPr="00AD70D8">
        <w:rPr>
          <w:rFonts w:asciiTheme="majorBidi" w:hAnsiTheme="majorBidi" w:cstheme="majorBidi" w:hint="cs"/>
          <w:rtl/>
        </w:rPr>
        <w:t>132</w:t>
      </w:r>
      <w:r w:rsidRPr="00AD70D8">
        <w:rPr>
          <w:rFonts w:asciiTheme="majorBidi" w:hAnsiTheme="majorBidi" w:cstheme="majorBidi"/>
        </w:rPr>
        <w:t>,</w:t>
      </w:r>
      <w:r w:rsidRPr="00AD70D8">
        <w:rPr>
          <w:rFonts w:asciiTheme="majorBidi" w:hAnsiTheme="majorBidi" w:cstheme="majorBidi" w:hint="cs"/>
          <w:rtl/>
        </w:rPr>
        <w:t>573</w:t>
      </w:r>
      <w:r w:rsidRPr="00AD70D8">
        <w:rPr>
          <w:rFonts w:asciiTheme="majorBidi" w:hAnsiTheme="majorBidi" w:cstheme="majorBidi"/>
        </w:rPr>
        <w:t xml:space="preserve"> in 2019. </w:t>
      </w:r>
    </w:p>
    <w:p w:rsidR="00DF3D0E" w:rsidRPr="00AD70D8" w:rsidRDefault="00DF3D0E" w:rsidP="005E4B6B">
      <w:pPr>
        <w:numPr>
          <w:ilvl w:val="0"/>
          <w:numId w:val="5"/>
        </w:numPr>
        <w:spacing w:before="80"/>
        <w:ind w:left="357" w:right="0" w:hanging="357"/>
        <w:jc w:val="lowKashida"/>
        <w:rPr>
          <w:rFonts w:asciiTheme="majorBidi" w:hAnsiTheme="majorBidi" w:cstheme="majorBidi"/>
        </w:rPr>
      </w:pPr>
      <w:r w:rsidRPr="00AD70D8">
        <w:rPr>
          <w:rFonts w:asciiTheme="majorBidi" w:hAnsiTheme="majorBidi" w:cstheme="majorBidi"/>
        </w:rPr>
        <w:t>The total number of hospitalization days in Jerusalem hospitals was 2</w:t>
      </w:r>
      <w:r w:rsidR="005E4B6B" w:rsidRPr="00AD70D8">
        <w:rPr>
          <w:rFonts w:asciiTheme="majorBidi" w:hAnsiTheme="majorBidi" w:cstheme="majorBidi"/>
        </w:rPr>
        <w:t>47</w:t>
      </w:r>
      <w:r w:rsidRPr="00AD70D8">
        <w:rPr>
          <w:rFonts w:asciiTheme="majorBidi" w:hAnsiTheme="majorBidi" w:cstheme="majorBidi"/>
        </w:rPr>
        <w:t>,</w:t>
      </w:r>
      <w:r w:rsidR="005E4B6B" w:rsidRPr="00AD70D8">
        <w:rPr>
          <w:rFonts w:asciiTheme="majorBidi" w:hAnsiTheme="majorBidi" w:cstheme="majorBidi"/>
        </w:rPr>
        <w:t>890</w:t>
      </w:r>
      <w:r w:rsidRPr="00AD70D8">
        <w:rPr>
          <w:rFonts w:asciiTheme="majorBidi" w:hAnsiTheme="majorBidi" w:cstheme="majorBidi"/>
        </w:rPr>
        <w:t xml:space="preserve"> in 2019. </w:t>
      </w:r>
    </w:p>
    <w:p w:rsidR="00DF3D0E" w:rsidRPr="00AD70D8" w:rsidRDefault="00DF3D0E" w:rsidP="002F3B21">
      <w:pPr>
        <w:numPr>
          <w:ilvl w:val="0"/>
          <w:numId w:val="5"/>
        </w:numPr>
        <w:spacing w:before="80"/>
        <w:ind w:left="357" w:right="0" w:hanging="357"/>
        <w:jc w:val="lowKashida"/>
        <w:rPr>
          <w:rFonts w:asciiTheme="majorBidi" w:hAnsiTheme="majorBidi" w:cstheme="majorBidi"/>
        </w:rPr>
      </w:pPr>
      <w:r w:rsidRPr="00AD70D8">
        <w:rPr>
          <w:rFonts w:asciiTheme="majorBidi" w:hAnsiTheme="majorBidi" w:cstheme="majorBidi"/>
        </w:rPr>
        <w:t xml:space="preserve">The bed occupancy rate in Jerusalem hospitals was </w:t>
      </w:r>
      <w:r w:rsidR="002F3B21" w:rsidRPr="00AD70D8">
        <w:rPr>
          <w:rFonts w:asciiTheme="majorBidi" w:hAnsiTheme="majorBidi" w:cstheme="majorBidi"/>
        </w:rPr>
        <w:t>93.3</w:t>
      </w:r>
      <w:r w:rsidRPr="00AD70D8">
        <w:rPr>
          <w:rFonts w:asciiTheme="majorBidi" w:hAnsiTheme="majorBidi" w:cstheme="majorBidi"/>
        </w:rPr>
        <w:t xml:space="preserve">% in 2019. </w:t>
      </w:r>
    </w:p>
    <w:p w:rsidR="00DF3D0E" w:rsidRPr="00AD70D8" w:rsidRDefault="00DF3D0E" w:rsidP="008E10D4">
      <w:pPr>
        <w:numPr>
          <w:ilvl w:val="0"/>
          <w:numId w:val="5"/>
        </w:numPr>
        <w:spacing w:before="80"/>
        <w:ind w:left="357" w:right="0" w:hanging="357"/>
        <w:jc w:val="lowKashida"/>
        <w:rPr>
          <w:rFonts w:asciiTheme="majorBidi" w:hAnsiTheme="majorBidi" w:cstheme="majorBidi"/>
        </w:rPr>
      </w:pPr>
      <w:r w:rsidRPr="00AD70D8">
        <w:rPr>
          <w:rFonts w:asciiTheme="majorBidi" w:hAnsiTheme="majorBidi" w:cstheme="majorBidi"/>
        </w:rPr>
        <w:t>In 201</w:t>
      </w:r>
      <w:r w:rsidR="002F3B21" w:rsidRPr="00AD70D8">
        <w:rPr>
          <w:rFonts w:asciiTheme="majorBidi" w:hAnsiTheme="majorBidi" w:cstheme="majorBidi"/>
        </w:rPr>
        <w:t>7</w:t>
      </w:r>
      <w:r w:rsidRPr="00AD70D8">
        <w:rPr>
          <w:rFonts w:asciiTheme="majorBidi" w:hAnsiTheme="majorBidi" w:cstheme="majorBidi"/>
        </w:rPr>
        <w:t>, around 79.7% of individuals in Jerusalem (J2) reported having health insurance.</w:t>
      </w:r>
    </w:p>
    <w:p w:rsidR="00DF3D0E" w:rsidRPr="00AD70D8" w:rsidRDefault="00DF3D0E" w:rsidP="008E10D4">
      <w:pPr>
        <w:numPr>
          <w:ilvl w:val="0"/>
          <w:numId w:val="5"/>
        </w:numPr>
        <w:spacing w:before="80"/>
        <w:ind w:left="357" w:right="0" w:hanging="357"/>
        <w:jc w:val="lowKashida"/>
        <w:rPr>
          <w:rFonts w:asciiTheme="majorBidi" w:hAnsiTheme="majorBidi" w:cstheme="majorBidi"/>
        </w:rPr>
      </w:pPr>
      <w:r w:rsidRPr="00AD70D8">
        <w:rPr>
          <w:rFonts w:asciiTheme="majorBidi" w:hAnsiTheme="majorBidi" w:cstheme="majorBidi"/>
        </w:rPr>
        <w:t>Percentage of Palestinian Population with Disabilities in Jerusalem (J2) was 1.8% in 201</w:t>
      </w:r>
      <w:r w:rsidR="002F3B21" w:rsidRPr="00AD70D8">
        <w:rPr>
          <w:rFonts w:asciiTheme="majorBidi" w:hAnsiTheme="majorBidi" w:cstheme="majorBidi"/>
        </w:rPr>
        <w:t>7</w:t>
      </w:r>
      <w:r w:rsidRPr="00AD70D8">
        <w:rPr>
          <w:rFonts w:asciiTheme="majorBidi" w:hAnsiTheme="majorBidi" w:cstheme="majorBidi"/>
        </w:rPr>
        <w:t xml:space="preserve">. </w:t>
      </w:r>
    </w:p>
    <w:p w:rsidR="00E4320D" w:rsidRPr="00AD70D8" w:rsidRDefault="00E4320D" w:rsidP="00796931">
      <w:pPr>
        <w:jc w:val="both"/>
        <w:rPr>
          <w:b/>
          <w:bCs/>
        </w:rPr>
      </w:pPr>
    </w:p>
    <w:p w:rsidR="00E4320D" w:rsidRPr="003C0C36" w:rsidRDefault="00E4320D" w:rsidP="003C0C36">
      <w:pPr>
        <w:pStyle w:val="BodyTextIndent"/>
        <w:numPr>
          <w:ilvl w:val="0"/>
          <w:numId w:val="21"/>
        </w:numPr>
        <w:bidi w:val="0"/>
        <w:ind w:left="210" w:hanging="210"/>
        <w:jc w:val="both"/>
        <w:rPr>
          <w:b/>
          <w:bCs/>
          <w:sz w:val="22"/>
          <w:szCs w:val="22"/>
        </w:rPr>
      </w:pPr>
      <w:r w:rsidRPr="003C0C36">
        <w:rPr>
          <w:b/>
          <w:bCs/>
          <w:sz w:val="22"/>
          <w:szCs w:val="22"/>
        </w:rPr>
        <w:t>Labo</w:t>
      </w:r>
      <w:r w:rsidR="007A5D60" w:rsidRPr="003C0C36">
        <w:rPr>
          <w:b/>
          <w:bCs/>
          <w:sz w:val="22"/>
          <w:szCs w:val="22"/>
        </w:rPr>
        <w:t>u</w:t>
      </w:r>
      <w:r w:rsidRPr="003C0C36">
        <w:rPr>
          <w:b/>
          <w:bCs/>
          <w:sz w:val="22"/>
          <w:szCs w:val="22"/>
        </w:rPr>
        <w:t xml:space="preserve">r Force </w:t>
      </w:r>
    </w:p>
    <w:p w:rsidR="009A1E0A" w:rsidRPr="00AD70D8" w:rsidRDefault="009A1E0A" w:rsidP="0040010E">
      <w:pPr>
        <w:numPr>
          <w:ilvl w:val="0"/>
          <w:numId w:val="5"/>
        </w:numPr>
        <w:spacing w:before="80"/>
        <w:ind w:left="357" w:right="0" w:hanging="357"/>
        <w:jc w:val="lowKashida"/>
      </w:pPr>
      <w:r w:rsidRPr="00AD70D8">
        <w:t xml:space="preserve">The labor force participation rate </w:t>
      </w:r>
      <w:r w:rsidR="0040010E">
        <w:t>among</w:t>
      </w:r>
      <w:r w:rsidRPr="00AD70D8">
        <w:t xml:space="preserve"> individuals (15 years and above) in Jerusalem Governorate was 35.9% in 2020 (61.8% for males and 10.5% for females).  </w:t>
      </w:r>
    </w:p>
    <w:p w:rsidR="009A1E0A" w:rsidRPr="00AD70D8" w:rsidRDefault="009A1E0A" w:rsidP="002F3B21">
      <w:pPr>
        <w:numPr>
          <w:ilvl w:val="0"/>
          <w:numId w:val="5"/>
        </w:numPr>
        <w:spacing w:before="80"/>
        <w:ind w:left="357" w:right="0" w:hanging="357"/>
        <w:jc w:val="lowKashida"/>
      </w:pPr>
      <w:r w:rsidRPr="00AD70D8">
        <w:t>The unemployment rate in Jerusalem Governorate of individuals (15 years and above) was 6.5% in 2020.</w:t>
      </w:r>
    </w:p>
    <w:p w:rsidR="009A1E0A" w:rsidRPr="00AD70D8" w:rsidRDefault="009A1E0A" w:rsidP="0040010E">
      <w:pPr>
        <w:numPr>
          <w:ilvl w:val="0"/>
          <w:numId w:val="5"/>
        </w:numPr>
        <w:spacing w:before="80"/>
        <w:ind w:left="357" w:right="0" w:hanging="357"/>
        <w:jc w:val="lowKashida"/>
      </w:pPr>
      <w:r w:rsidRPr="00AD70D8">
        <w:t xml:space="preserve">Employment rate in Jerusalem Governorate </w:t>
      </w:r>
      <w:r w:rsidR="0040010E">
        <w:t>among</w:t>
      </w:r>
      <w:r w:rsidR="0040010E" w:rsidRPr="00AD70D8">
        <w:t xml:space="preserve"> </w:t>
      </w:r>
      <w:r w:rsidRPr="00AD70D8">
        <w:t>individuals (15 years and above) was 93.5% in 2020.</w:t>
      </w:r>
    </w:p>
    <w:p w:rsidR="009A1E0A" w:rsidRPr="00AD70D8" w:rsidRDefault="009A1E0A" w:rsidP="009A1E0A">
      <w:pPr>
        <w:numPr>
          <w:ilvl w:val="0"/>
          <w:numId w:val="5"/>
        </w:numPr>
        <w:spacing w:before="80"/>
        <w:ind w:left="357" w:right="0" w:hanging="357"/>
        <w:jc w:val="lowKashida"/>
      </w:pPr>
      <w:r w:rsidRPr="00AD70D8">
        <w:t xml:space="preserve">Employed individuals in Jerusalem Governorate distributed by employment status in 2020 were as follows: 5.2% employer, 8.9% </w:t>
      </w:r>
      <w:r w:rsidR="002C001F" w:rsidRPr="00AD70D8">
        <w:t>self-employed</w:t>
      </w:r>
      <w:r w:rsidRPr="00AD70D8">
        <w:t>, 85.6% wage employee and 0.3% unpaid family member.</w:t>
      </w:r>
    </w:p>
    <w:p w:rsidR="009A1E0A" w:rsidRDefault="009A1E0A" w:rsidP="009A1E0A">
      <w:pPr>
        <w:jc w:val="center"/>
        <w:rPr>
          <w:rFonts w:cs="Simplified Arabic"/>
        </w:rPr>
      </w:pPr>
    </w:p>
    <w:p w:rsidR="00CE728D" w:rsidRPr="00AD70D8" w:rsidRDefault="00CE728D" w:rsidP="009A1E0A">
      <w:pPr>
        <w:jc w:val="center"/>
        <w:rPr>
          <w:rFonts w:cs="Simplified Arabic"/>
        </w:rPr>
      </w:pPr>
    </w:p>
    <w:p w:rsidR="009A1E0A" w:rsidRPr="00AD70D8" w:rsidRDefault="009A1E0A" w:rsidP="009A1E0A">
      <w:pPr>
        <w:jc w:val="center"/>
        <w:rPr>
          <w:rFonts w:cs="Simplified Arabic"/>
        </w:rPr>
      </w:pPr>
    </w:p>
    <w:p w:rsidR="009A1E0A" w:rsidRPr="00AD70D8" w:rsidRDefault="009A1E0A" w:rsidP="009A1E0A">
      <w:pPr>
        <w:jc w:val="center"/>
        <w:rPr>
          <w:rFonts w:ascii="Arial" w:hAnsi="Arial" w:cs="Arial"/>
          <w:b/>
          <w:bCs/>
          <w:sz w:val="18"/>
          <w:szCs w:val="18"/>
        </w:rPr>
      </w:pPr>
      <w:r w:rsidRPr="00AD70D8">
        <w:rPr>
          <w:rFonts w:ascii="Arial" w:hAnsi="Arial" w:cs="Arial"/>
          <w:b/>
          <w:bCs/>
          <w:sz w:val="18"/>
          <w:szCs w:val="18"/>
        </w:rPr>
        <w:lastRenderedPageBreak/>
        <w:t xml:space="preserve">Percentage Distribution of Employed Individuals from Jerusalem Governorate by Employment Status, 2020 </w:t>
      </w:r>
    </w:p>
    <w:p w:rsidR="009A1E0A" w:rsidRPr="00AD70D8" w:rsidRDefault="009A1E0A" w:rsidP="009A1E0A">
      <w:pPr>
        <w:jc w:val="center"/>
        <w:rPr>
          <w:rFonts w:ascii="Arial" w:hAnsi="Arial" w:cs="Arial"/>
          <w:sz w:val="6"/>
          <w:szCs w:val="6"/>
        </w:rPr>
      </w:pPr>
    </w:p>
    <w:p w:rsidR="009A1E0A" w:rsidRPr="00AD70D8" w:rsidRDefault="009A1E0A" w:rsidP="009A1E0A">
      <w:pPr>
        <w:jc w:val="center"/>
        <w:rPr>
          <w:rFonts w:ascii="Arial" w:hAnsi="Arial" w:cs="Arial"/>
          <w:sz w:val="10"/>
          <w:szCs w:val="10"/>
        </w:rPr>
      </w:pPr>
      <w:r w:rsidRPr="00AD70D8">
        <w:rPr>
          <w:rFonts w:ascii="Arial" w:hAnsi="Arial" w:cs="Arial"/>
          <w:noProof/>
          <w:sz w:val="10"/>
          <w:szCs w:val="10"/>
          <w:bdr w:val="single" w:sz="4" w:space="0" w:color="auto"/>
        </w:rPr>
        <w:drawing>
          <wp:inline distT="0" distB="0" distL="0" distR="0" wp14:anchorId="6C6783E2" wp14:editId="5A3B6FE8">
            <wp:extent cx="4375657" cy="1751330"/>
            <wp:effectExtent l="0" t="0" r="0" b="0"/>
            <wp:docPr id="5"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A1E0A" w:rsidRPr="00AD70D8" w:rsidRDefault="009A1E0A" w:rsidP="009A1E0A">
      <w:pPr>
        <w:jc w:val="both"/>
        <w:rPr>
          <w:b/>
          <w:bCs/>
        </w:rPr>
      </w:pPr>
    </w:p>
    <w:p w:rsidR="00E4320D" w:rsidRPr="003C0C36" w:rsidRDefault="00E4320D" w:rsidP="003C0C36">
      <w:pPr>
        <w:pStyle w:val="BodyTextIndent"/>
        <w:numPr>
          <w:ilvl w:val="0"/>
          <w:numId w:val="21"/>
        </w:numPr>
        <w:bidi w:val="0"/>
        <w:ind w:left="210" w:hanging="210"/>
        <w:jc w:val="both"/>
        <w:rPr>
          <w:b/>
          <w:bCs/>
          <w:sz w:val="22"/>
          <w:szCs w:val="22"/>
        </w:rPr>
      </w:pPr>
      <w:r w:rsidRPr="003C0C36">
        <w:rPr>
          <w:b/>
          <w:bCs/>
          <w:sz w:val="22"/>
          <w:szCs w:val="22"/>
        </w:rPr>
        <w:t>Living Standards</w:t>
      </w:r>
    </w:p>
    <w:p w:rsidR="00E4320D" w:rsidRPr="00AD70D8" w:rsidRDefault="00E4320D" w:rsidP="00D20C2D">
      <w:pPr>
        <w:pStyle w:val="BodyText2"/>
        <w:numPr>
          <w:ilvl w:val="0"/>
          <w:numId w:val="4"/>
        </w:numPr>
        <w:tabs>
          <w:tab w:val="left" w:pos="284"/>
        </w:tabs>
        <w:bidi w:val="0"/>
        <w:spacing w:before="80"/>
        <w:ind w:left="284" w:hanging="284"/>
      </w:pPr>
      <w:r w:rsidRPr="00AD70D8">
        <w:t xml:space="preserve">Income from wages earned from </w:t>
      </w:r>
      <w:r w:rsidR="00D61FFA" w:rsidRPr="00AD70D8">
        <w:t>employment</w:t>
      </w:r>
      <w:r w:rsidRPr="00AD70D8">
        <w:t xml:space="preserve"> in Israel</w:t>
      </w:r>
      <w:r w:rsidRPr="00AD70D8" w:rsidDel="00E06D2A">
        <w:t xml:space="preserve"> </w:t>
      </w:r>
      <w:r w:rsidR="0040092D" w:rsidRPr="00AD70D8">
        <w:t xml:space="preserve">was </w:t>
      </w:r>
      <w:r w:rsidRPr="00AD70D8">
        <w:t>the main source of household income for 4</w:t>
      </w:r>
      <w:r w:rsidR="007B681A" w:rsidRPr="00AD70D8">
        <w:rPr>
          <w:rFonts w:hint="cs"/>
          <w:rtl/>
        </w:rPr>
        <w:t>1</w:t>
      </w:r>
      <w:r w:rsidRPr="00AD70D8">
        <w:t>.</w:t>
      </w:r>
      <w:r w:rsidR="007B681A" w:rsidRPr="00AD70D8">
        <w:rPr>
          <w:rFonts w:hint="cs"/>
          <w:rtl/>
        </w:rPr>
        <w:t>6</w:t>
      </w:r>
      <w:r w:rsidRPr="00AD70D8">
        <w:t>% of households in Jerusalem Governorate</w:t>
      </w:r>
      <w:r w:rsidR="00246DA9" w:rsidRPr="00AD70D8">
        <w:t xml:space="preserve"> in </w:t>
      </w:r>
      <w:r w:rsidR="00D20C2D">
        <w:t>2018</w:t>
      </w:r>
      <w:r w:rsidRPr="00AD70D8">
        <w:t>.</w:t>
      </w:r>
      <w:r w:rsidR="007B681A" w:rsidRPr="00AD70D8">
        <w:rPr>
          <w:rFonts w:hint="cs"/>
          <w:rtl/>
        </w:rPr>
        <w:t xml:space="preserve"> </w:t>
      </w:r>
      <w:r w:rsidRPr="00AD70D8">
        <w:t xml:space="preserve"> Income from the private sector made up 2</w:t>
      </w:r>
      <w:r w:rsidR="007B681A" w:rsidRPr="00AD70D8">
        <w:rPr>
          <w:rFonts w:hint="cs"/>
          <w:rtl/>
        </w:rPr>
        <w:t>1</w:t>
      </w:r>
      <w:r w:rsidRPr="00AD70D8">
        <w:t>.</w:t>
      </w:r>
      <w:r w:rsidR="007B681A" w:rsidRPr="00AD70D8">
        <w:rPr>
          <w:rFonts w:hint="cs"/>
          <w:rtl/>
        </w:rPr>
        <w:t>4</w:t>
      </w:r>
      <w:r w:rsidRPr="00AD70D8">
        <w:t>%</w:t>
      </w:r>
      <w:r w:rsidR="00E96BFF" w:rsidRPr="00AD70D8">
        <w:t>,</w:t>
      </w:r>
      <w:r w:rsidRPr="00AD70D8">
        <w:t xml:space="preserve"> and income from national insurance allowances was the main source of income for 1</w:t>
      </w:r>
      <w:r w:rsidR="007B681A" w:rsidRPr="00AD70D8">
        <w:rPr>
          <w:rFonts w:hint="cs"/>
          <w:rtl/>
        </w:rPr>
        <w:t>7</w:t>
      </w:r>
      <w:r w:rsidRPr="00AD70D8">
        <w:t>.</w:t>
      </w:r>
      <w:r w:rsidR="007B681A" w:rsidRPr="00AD70D8">
        <w:rPr>
          <w:rFonts w:hint="cs"/>
          <w:rtl/>
        </w:rPr>
        <w:t>2</w:t>
      </w:r>
      <w:r w:rsidRPr="00AD70D8">
        <w:t xml:space="preserve">%. Wages from the government sector </w:t>
      </w:r>
      <w:r w:rsidR="00D64DB5" w:rsidRPr="00AD70D8">
        <w:t xml:space="preserve">represented </w:t>
      </w:r>
      <w:r w:rsidR="007B681A" w:rsidRPr="00AD70D8">
        <w:rPr>
          <w:rFonts w:hint="cs"/>
          <w:rtl/>
        </w:rPr>
        <w:t>4</w:t>
      </w:r>
      <w:r w:rsidRPr="00AD70D8">
        <w:t>.</w:t>
      </w:r>
      <w:r w:rsidR="007B681A" w:rsidRPr="00AD70D8">
        <w:rPr>
          <w:rFonts w:hint="cs"/>
          <w:rtl/>
        </w:rPr>
        <w:t>5</w:t>
      </w:r>
      <w:r w:rsidRPr="00AD70D8">
        <w:t>%</w:t>
      </w:r>
      <w:r w:rsidR="00E96BFF" w:rsidRPr="00AD70D8">
        <w:t xml:space="preserve"> of households in Jerusalem Governorate</w:t>
      </w:r>
      <w:r w:rsidRPr="00AD70D8">
        <w:t>.</w:t>
      </w:r>
    </w:p>
    <w:p w:rsidR="00E4320D" w:rsidRDefault="00E4320D" w:rsidP="00D20C2D">
      <w:pPr>
        <w:pStyle w:val="BodyText2"/>
        <w:numPr>
          <w:ilvl w:val="0"/>
          <w:numId w:val="4"/>
        </w:numPr>
        <w:tabs>
          <w:tab w:val="left" w:pos="284"/>
        </w:tabs>
        <w:bidi w:val="0"/>
        <w:spacing w:before="80"/>
        <w:ind w:left="284" w:hanging="284"/>
      </w:pPr>
      <w:r w:rsidRPr="00AD70D8">
        <w:t xml:space="preserve">Around </w:t>
      </w:r>
      <w:r w:rsidR="007B681A" w:rsidRPr="00AD70D8">
        <w:rPr>
          <w:rFonts w:hint="cs"/>
          <w:rtl/>
        </w:rPr>
        <w:t>5</w:t>
      </w:r>
      <w:r w:rsidRPr="00AD70D8">
        <w:t>.</w:t>
      </w:r>
      <w:r w:rsidR="007B681A" w:rsidRPr="00AD70D8">
        <w:rPr>
          <w:rFonts w:hint="cs"/>
          <w:rtl/>
        </w:rPr>
        <w:t>3</w:t>
      </w:r>
      <w:r w:rsidRPr="00AD70D8">
        <w:t>% of</w:t>
      </w:r>
      <w:r w:rsidR="00D61FFA" w:rsidRPr="00AD70D8">
        <w:t xml:space="preserve"> the</w:t>
      </w:r>
      <w:r w:rsidRPr="00AD70D8">
        <w:t xml:space="preserve"> Palestinian households in Jerusalem Governorate </w:t>
      </w:r>
      <w:r w:rsidR="002A5595" w:rsidRPr="00AD70D8">
        <w:rPr>
          <w:rFonts w:asciiTheme="majorBidi" w:hAnsiTheme="majorBidi" w:cstheme="majorBidi"/>
        </w:rPr>
        <w:t xml:space="preserve">from </w:t>
      </w:r>
      <w:r w:rsidR="00566780" w:rsidRPr="00AD70D8">
        <w:rPr>
          <w:rFonts w:asciiTheme="majorBidi" w:hAnsiTheme="majorBidi" w:cstheme="majorBidi"/>
        </w:rPr>
        <w:t xml:space="preserve">household </w:t>
      </w:r>
      <w:r w:rsidR="002A5595" w:rsidRPr="00AD70D8">
        <w:rPr>
          <w:rFonts w:asciiTheme="majorBidi" w:hAnsiTheme="majorBidi" w:cstheme="majorBidi"/>
        </w:rPr>
        <w:t>point of</w:t>
      </w:r>
      <w:r w:rsidR="00566780" w:rsidRPr="00AD70D8">
        <w:rPr>
          <w:rFonts w:asciiTheme="majorBidi" w:hAnsiTheme="majorBidi" w:cstheme="majorBidi" w:hint="cs"/>
          <w:rtl/>
        </w:rPr>
        <w:t xml:space="preserve"> </w:t>
      </w:r>
      <w:r w:rsidR="00566780" w:rsidRPr="00AD70D8">
        <w:rPr>
          <w:rFonts w:asciiTheme="majorBidi" w:hAnsiTheme="majorBidi" w:cstheme="majorBidi"/>
        </w:rPr>
        <w:t>view</w:t>
      </w:r>
      <w:r w:rsidR="002A5595" w:rsidRPr="00AD70D8">
        <w:rPr>
          <w:rFonts w:asciiTheme="majorBidi" w:hAnsiTheme="majorBidi" w:cstheme="majorBidi"/>
        </w:rPr>
        <w:t xml:space="preserve"> </w:t>
      </w:r>
      <w:r w:rsidRPr="00AD70D8">
        <w:rPr>
          <w:rFonts w:asciiTheme="majorBidi" w:hAnsiTheme="majorBidi" w:cstheme="majorBidi"/>
        </w:rPr>
        <w:t xml:space="preserve">described their standard of living as well, </w:t>
      </w:r>
      <w:r w:rsidR="007B681A" w:rsidRPr="00AD70D8">
        <w:rPr>
          <w:rFonts w:asciiTheme="majorBidi" w:hAnsiTheme="majorBidi" w:cstheme="majorBidi"/>
          <w:rtl/>
        </w:rPr>
        <w:t>85</w:t>
      </w:r>
      <w:r w:rsidRPr="00AD70D8">
        <w:rPr>
          <w:rFonts w:asciiTheme="majorBidi" w:hAnsiTheme="majorBidi" w:cstheme="majorBidi"/>
        </w:rPr>
        <w:t>.</w:t>
      </w:r>
      <w:r w:rsidR="007B681A" w:rsidRPr="00AD70D8">
        <w:rPr>
          <w:rFonts w:asciiTheme="majorBidi" w:hAnsiTheme="majorBidi" w:cstheme="majorBidi"/>
          <w:rtl/>
        </w:rPr>
        <w:t>1</w:t>
      </w:r>
      <w:r w:rsidRPr="00AD70D8">
        <w:rPr>
          <w:rFonts w:asciiTheme="majorBidi" w:hAnsiTheme="majorBidi" w:cstheme="majorBidi"/>
        </w:rPr>
        <w:t>% described</w:t>
      </w:r>
      <w:r w:rsidRPr="00AD70D8">
        <w:t xml:space="preserve"> it as “fairly good”, </w:t>
      </w:r>
      <w:r w:rsidR="007B681A" w:rsidRPr="00AD70D8">
        <w:rPr>
          <w:rFonts w:hint="cs"/>
          <w:rtl/>
        </w:rPr>
        <w:t>8</w:t>
      </w:r>
      <w:r w:rsidRPr="00AD70D8">
        <w:t>.</w:t>
      </w:r>
      <w:r w:rsidR="007B681A" w:rsidRPr="00AD70D8">
        <w:rPr>
          <w:rFonts w:hint="cs"/>
          <w:rtl/>
        </w:rPr>
        <w:t>9</w:t>
      </w:r>
      <w:r w:rsidRPr="00AD70D8">
        <w:t>% as poor and 0.</w:t>
      </w:r>
      <w:r w:rsidR="007B681A" w:rsidRPr="00AD70D8">
        <w:rPr>
          <w:rFonts w:hint="cs"/>
          <w:rtl/>
        </w:rPr>
        <w:t>7</w:t>
      </w:r>
      <w:r w:rsidRPr="00AD70D8">
        <w:t>% as very poor</w:t>
      </w:r>
      <w:r w:rsidR="002A5595" w:rsidRPr="00AD70D8">
        <w:t xml:space="preserve"> in </w:t>
      </w:r>
      <w:r w:rsidR="00D20C2D">
        <w:t>2018</w:t>
      </w:r>
      <w:r w:rsidRPr="00AD70D8">
        <w:t>.</w:t>
      </w:r>
    </w:p>
    <w:p w:rsidR="003C0C36" w:rsidRPr="00AD70D8" w:rsidRDefault="003C0C36" w:rsidP="003C0C36">
      <w:pPr>
        <w:pStyle w:val="BodyText2"/>
        <w:tabs>
          <w:tab w:val="left" w:pos="284"/>
        </w:tabs>
        <w:bidi w:val="0"/>
        <w:spacing w:before="80"/>
      </w:pPr>
    </w:p>
    <w:p w:rsidR="007B681A" w:rsidRPr="00AD70D8" w:rsidRDefault="007B681A" w:rsidP="001D09D2">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r w:rsidRPr="00AD70D8">
        <w:rPr>
          <w:rFonts w:ascii="Arial" w:hAnsi="Arial" w:cs="Arial"/>
          <w:lang w:eastAsia="en-US"/>
        </w:rPr>
        <w:t xml:space="preserve">Percentage Distribution of Palestinian Households </w:t>
      </w:r>
      <w:r w:rsidRPr="00AD70D8">
        <w:rPr>
          <w:rFonts w:ascii="Arial" w:hAnsi="Arial" w:cs="Arial"/>
        </w:rPr>
        <w:t>in Jerusalem Governorate</w:t>
      </w:r>
      <w:r w:rsidRPr="00AD70D8">
        <w:rPr>
          <w:rFonts w:ascii="Arial" w:hAnsi="Arial" w:cs="Arial"/>
          <w:lang w:eastAsia="en-US"/>
        </w:rPr>
        <w:t xml:space="preserve"> by Living Standard from </w:t>
      </w:r>
      <w:r w:rsidR="00566780" w:rsidRPr="00AD70D8">
        <w:rPr>
          <w:rFonts w:ascii="Arial" w:hAnsi="Arial" w:cs="Arial"/>
          <w:lang w:eastAsia="en-US"/>
        </w:rPr>
        <w:t>Household P</w:t>
      </w:r>
      <w:r w:rsidRPr="00AD70D8">
        <w:rPr>
          <w:rFonts w:ascii="Arial" w:hAnsi="Arial" w:cs="Arial"/>
          <w:lang w:eastAsia="en-US"/>
        </w:rPr>
        <w:t xml:space="preserve">oint </w:t>
      </w:r>
      <w:r w:rsidR="00566780" w:rsidRPr="00AD70D8">
        <w:rPr>
          <w:rFonts w:ascii="Arial" w:hAnsi="Arial" w:cs="Arial"/>
          <w:lang w:eastAsia="en-US"/>
        </w:rPr>
        <w:t>of View</w:t>
      </w:r>
      <w:r w:rsidRPr="00AD70D8">
        <w:rPr>
          <w:rFonts w:ascii="Arial" w:hAnsi="Arial" w:cs="Arial"/>
          <w:lang w:eastAsia="en-US"/>
        </w:rPr>
        <w:t xml:space="preserve">, </w:t>
      </w:r>
      <w:r w:rsidR="001D09D2">
        <w:rPr>
          <w:rFonts w:ascii="Arial" w:hAnsi="Arial" w:cs="Arial" w:hint="cs"/>
          <w:rtl/>
          <w:lang w:eastAsia="en-US"/>
        </w:rPr>
        <w:t>2018</w:t>
      </w:r>
    </w:p>
    <w:p w:rsidR="007B681A" w:rsidRPr="00AD70D8" w:rsidRDefault="007B681A" w:rsidP="007B681A">
      <w:pPr>
        <w:tabs>
          <w:tab w:val="left" w:pos="7088"/>
        </w:tabs>
        <w:jc w:val="center"/>
        <w:rPr>
          <w:rFonts w:cs="Simplified Arabic"/>
          <w:sz w:val="24"/>
          <w:szCs w:val="24"/>
          <w:rtl/>
        </w:rPr>
      </w:pPr>
      <w:r w:rsidRPr="00AD70D8">
        <w:rPr>
          <w:rFonts w:cs="Simplified Arabic"/>
          <w:noProof/>
          <w:sz w:val="24"/>
          <w:szCs w:val="24"/>
          <w:bdr w:val="single" w:sz="4" w:space="0" w:color="auto"/>
          <w:rtl/>
        </w:rPr>
        <w:drawing>
          <wp:inline distT="0" distB="0" distL="0" distR="0">
            <wp:extent cx="4317365" cy="1561605"/>
            <wp:effectExtent l="0" t="0" r="0" b="0"/>
            <wp:docPr id="6"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D1EC0" w:rsidRPr="00AD70D8" w:rsidRDefault="00FD1EC0" w:rsidP="00225C32">
      <w:pPr>
        <w:pStyle w:val="BodyTextIndent"/>
        <w:bidi w:val="0"/>
        <w:ind w:firstLine="0"/>
        <w:jc w:val="both"/>
        <w:rPr>
          <w:b/>
          <w:bCs/>
        </w:rPr>
      </w:pPr>
    </w:p>
    <w:p w:rsidR="00225C32" w:rsidRPr="003C0C36" w:rsidRDefault="00225C32" w:rsidP="003C0C36">
      <w:pPr>
        <w:pStyle w:val="BodyTextIndent"/>
        <w:numPr>
          <w:ilvl w:val="0"/>
          <w:numId w:val="21"/>
        </w:numPr>
        <w:bidi w:val="0"/>
        <w:ind w:left="210" w:hanging="210"/>
        <w:jc w:val="both"/>
        <w:rPr>
          <w:b/>
          <w:bCs/>
          <w:sz w:val="22"/>
          <w:szCs w:val="22"/>
        </w:rPr>
      </w:pPr>
      <w:r w:rsidRPr="003C0C36">
        <w:rPr>
          <w:b/>
          <w:bCs/>
          <w:sz w:val="22"/>
          <w:szCs w:val="22"/>
        </w:rPr>
        <w:t>Education</w:t>
      </w:r>
    </w:p>
    <w:p w:rsidR="00407C48" w:rsidRPr="00AD70D8" w:rsidRDefault="003C0C36" w:rsidP="00407C48">
      <w:pPr>
        <w:tabs>
          <w:tab w:val="left" w:pos="284"/>
        </w:tabs>
        <w:jc w:val="lowKashida"/>
        <w:rPr>
          <w:b/>
          <w:bCs/>
        </w:rPr>
      </w:pPr>
      <w:r>
        <w:rPr>
          <w:b/>
          <w:bCs/>
        </w:rPr>
        <w:t xml:space="preserve">6.1 </w:t>
      </w:r>
      <w:r w:rsidR="00407C48" w:rsidRPr="00AD70D8">
        <w:rPr>
          <w:b/>
          <w:bCs/>
        </w:rPr>
        <w:t>Schools</w:t>
      </w:r>
      <w:r w:rsidR="00407C48" w:rsidRPr="00AD70D8">
        <w:rPr>
          <w:rStyle w:val="FootnoteReference"/>
          <w:b/>
          <w:bCs/>
          <w:sz w:val="18"/>
          <w:szCs w:val="18"/>
          <w:rtl/>
        </w:rPr>
        <w:footnoteReference w:id="1"/>
      </w:r>
      <w:r w:rsidR="00407C48" w:rsidRPr="00AD70D8">
        <w:rPr>
          <w:b/>
          <w:bCs/>
        </w:rPr>
        <w:t xml:space="preserve"> </w:t>
      </w:r>
    </w:p>
    <w:p w:rsidR="008D3BCD" w:rsidRPr="00AD70D8" w:rsidRDefault="008D3BCD" w:rsidP="008D3BCD">
      <w:pPr>
        <w:pStyle w:val="BodyText2"/>
        <w:numPr>
          <w:ilvl w:val="0"/>
          <w:numId w:val="4"/>
        </w:numPr>
        <w:tabs>
          <w:tab w:val="left" w:pos="284"/>
        </w:tabs>
        <w:bidi w:val="0"/>
        <w:spacing w:before="80"/>
        <w:ind w:left="284" w:hanging="284"/>
      </w:pPr>
      <w:r w:rsidRPr="00AD70D8">
        <w:t xml:space="preserve">In scholastic year </w:t>
      </w:r>
      <w:r w:rsidRPr="00AD70D8">
        <w:rPr>
          <w:rFonts w:hint="cs"/>
          <w:rtl/>
        </w:rPr>
        <w:t>2020</w:t>
      </w:r>
      <w:r w:rsidRPr="00AD70D8">
        <w:t>/</w:t>
      </w:r>
      <w:r w:rsidRPr="00AD70D8">
        <w:rPr>
          <w:rFonts w:hint="cs"/>
          <w:rtl/>
        </w:rPr>
        <w:t>2021</w:t>
      </w:r>
      <w:r w:rsidRPr="00AD70D8">
        <w:t>, there were 261 schools.</w:t>
      </w:r>
    </w:p>
    <w:p w:rsidR="008D3BCD" w:rsidRPr="00AD70D8" w:rsidRDefault="008D3BCD" w:rsidP="008D3BCD">
      <w:pPr>
        <w:pStyle w:val="BodyText2"/>
        <w:numPr>
          <w:ilvl w:val="0"/>
          <w:numId w:val="4"/>
        </w:numPr>
        <w:tabs>
          <w:tab w:val="left" w:pos="284"/>
        </w:tabs>
        <w:bidi w:val="0"/>
        <w:spacing w:before="80"/>
        <w:ind w:left="284" w:hanging="284"/>
      </w:pPr>
      <w:r w:rsidRPr="00AD70D8">
        <w:t xml:space="preserve">In scholastic year </w:t>
      </w:r>
      <w:r w:rsidRPr="00AD70D8">
        <w:rPr>
          <w:rFonts w:hint="cs"/>
          <w:rtl/>
        </w:rPr>
        <w:t>2020</w:t>
      </w:r>
      <w:r w:rsidRPr="00AD70D8">
        <w:t>/</w:t>
      </w:r>
      <w:r w:rsidRPr="00AD70D8">
        <w:rPr>
          <w:rFonts w:hint="cs"/>
          <w:rtl/>
        </w:rPr>
        <w:t>2021</w:t>
      </w:r>
      <w:r w:rsidRPr="00AD70D8">
        <w:t xml:space="preserve">, there were </w:t>
      </w:r>
      <w:r w:rsidRPr="00AD70D8">
        <w:rPr>
          <w:rtl/>
        </w:rPr>
        <w:t>75,184</w:t>
      </w:r>
      <w:r w:rsidRPr="00AD70D8">
        <w:t xml:space="preserve"> school students: 36,761</w:t>
      </w:r>
      <w:r w:rsidRPr="00AD70D8">
        <w:rPr>
          <w:lang w:bidi="ar-JO"/>
        </w:rPr>
        <w:t xml:space="preserve"> </w:t>
      </w:r>
      <w:r w:rsidRPr="00AD70D8">
        <w:t xml:space="preserve">males and 38,423 females. </w:t>
      </w:r>
    </w:p>
    <w:p w:rsidR="008D3BCD" w:rsidRPr="00AD70D8" w:rsidRDefault="008D3BCD" w:rsidP="008D3BCD">
      <w:pPr>
        <w:pStyle w:val="BodyText2"/>
        <w:numPr>
          <w:ilvl w:val="0"/>
          <w:numId w:val="4"/>
        </w:numPr>
        <w:tabs>
          <w:tab w:val="left" w:pos="284"/>
        </w:tabs>
        <w:bidi w:val="0"/>
        <w:spacing w:before="80"/>
        <w:ind w:left="284" w:hanging="284"/>
      </w:pPr>
      <w:r w:rsidRPr="00AD70D8">
        <w:lastRenderedPageBreak/>
        <w:t xml:space="preserve">In scholastic year </w:t>
      </w:r>
      <w:r w:rsidRPr="00AD70D8">
        <w:rPr>
          <w:rFonts w:hint="cs"/>
          <w:rtl/>
        </w:rPr>
        <w:t>2020</w:t>
      </w:r>
      <w:r w:rsidRPr="00AD70D8">
        <w:t>/</w:t>
      </w:r>
      <w:r w:rsidRPr="00AD70D8">
        <w:rPr>
          <w:rFonts w:hint="cs"/>
          <w:rtl/>
        </w:rPr>
        <w:t>2021</w:t>
      </w:r>
      <w:r w:rsidRPr="00AD70D8">
        <w:t>, the average number of students per teacher was 1</w:t>
      </w:r>
      <w:r w:rsidRPr="00AD70D8">
        <w:rPr>
          <w:rFonts w:hint="cs"/>
          <w:rtl/>
        </w:rPr>
        <w:t>5</w:t>
      </w:r>
      <w:r w:rsidRPr="00AD70D8">
        <w:t>.1 in government schools, 22.</w:t>
      </w:r>
      <w:r w:rsidRPr="00AD70D8">
        <w:rPr>
          <w:rFonts w:hint="cs"/>
          <w:rtl/>
        </w:rPr>
        <w:t>5</w:t>
      </w:r>
      <w:r w:rsidRPr="00AD70D8">
        <w:t xml:space="preserve"> in UNRWA schools and 1</w:t>
      </w:r>
      <w:r w:rsidRPr="00AD70D8">
        <w:rPr>
          <w:rFonts w:hint="cs"/>
          <w:rtl/>
        </w:rPr>
        <w:t>5</w:t>
      </w:r>
      <w:r w:rsidRPr="00AD70D8">
        <w:t>.7 in private schools.</w:t>
      </w:r>
    </w:p>
    <w:p w:rsidR="000477DC" w:rsidRDefault="008D3BCD" w:rsidP="008D3BCD">
      <w:pPr>
        <w:pStyle w:val="BodyText2"/>
        <w:numPr>
          <w:ilvl w:val="0"/>
          <w:numId w:val="4"/>
        </w:numPr>
        <w:tabs>
          <w:tab w:val="left" w:pos="284"/>
        </w:tabs>
        <w:bidi w:val="0"/>
        <w:spacing w:before="80"/>
        <w:ind w:left="284" w:hanging="284"/>
      </w:pPr>
      <w:r w:rsidRPr="00AD70D8">
        <w:t xml:space="preserve">In scholastic year </w:t>
      </w:r>
      <w:r w:rsidRPr="00AD70D8">
        <w:rPr>
          <w:rFonts w:hint="cs"/>
          <w:rtl/>
        </w:rPr>
        <w:t>2020</w:t>
      </w:r>
      <w:r w:rsidRPr="00AD70D8">
        <w:t>/</w:t>
      </w:r>
      <w:r w:rsidRPr="00AD70D8">
        <w:rPr>
          <w:rFonts w:hint="cs"/>
          <w:rtl/>
        </w:rPr>
        <w:t>2021</w:t>
      </w:r>
      <w:r w:rsidRPr="00AD70D8">
        <w:t>, the average number of students per class was 2</w:t>
      </w:r>
      <w:r w:rsidRPr="00AD70D8">
        <w:rPr>
          <w:rFonts w:hint="cs"/>
          <w:rtl/>
        </w:rPr>
        <w:t>1</w:t>
      </w:r>
      <w:r w:rsidRPr="00AD70D8">
        <w:t>.3 in government schools, 21.0 in UNRWA schools and 22.9 in private</w:t>
      </w:r>
      <w:r w:rsidR="000477DC" w:rsidRPr="00AD70D8">
        <w:t>.</w:t>
      </w:r>
    </w:p>
    <w:p w:rsidR="003C0C36" w:rsidRPr="00AD70D8" w:rsidRDefault="003C0C36" w:rsidP="003C0C36">
      <w:pPr>
        <w:pStyle w:val="BodyText2"/>
        <w:tabs>
          <w:tab w:val="left" w:pos="284"/>
        </w:tabs>
        <w:bidi w:val="0"/>
        <w:spacing w:before="80"/>
        <w:ind w:left="284"/>
      </w:pPr>
    </w:p>
    <w:tbl>
      <w:tblPr>
        <w:tblStyle w:val="TableGrid"/>
        <w:tblW w:w="0" w:type="auto"/>
        <w:tblInd w:w="284" w:type="dxa"/>
        <w:tblLook w:val="04A0" w:firstRow="1" w:lastRow="0" w:firstColumn="1" w:lastColumn="0" w:noHBand="0" w:noVBand="1"/>
      </w:tblPr>
      <w:tblGrid>
        <w:gridCol w:w="7303"/>
      </w:tblGrid>
      <w:tr w:rsidR="003C0C36" w:rsidRPr="00AD70D8" w:rsidTr="003C0C36">
        <w:tc>
          <w:tcPr>
            <w:tcW w:w="7587" w:type="dxa"/>
          </w:tcPr>
          <w:p w:rsidR="003C0C36" w:rsidRPr="00AD70D8" w:rsidRDefault="003C0C36" w:rsidP="006C65EB">
            <w:pPr>
              <w:pStyle w:val="BodyText2"/>
              <w:tabs>
                <w:tab w:val="left" w:pos="284"/>
              </w:tabs>
              <w:bidi w:val="0"/>
              <w:spacing w:before="80"/>
            </w:pPr>
            <w:r w:rsidRPr="003C0C36">
              <w:rPr>
                <w:noProof/>
              </w:rPr>
              <w:drawing>
                <wp:inline distT="0" distB="0" distL="0" distR="0">
                  <wp:extent cx="4679950" cy="2137559"/>
                  <wp:effectExtent l="0" t="0" r="0" b="0"/>
                  <wp:docPr id="10" name="Picture 10" descr="G:\كتاب القدس الاحصائي السنوي المفرغ2021\خرائط\Schools_Num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كتاب القدس الاحصائي السنوي المفرغ2021\خرائط\Schools_Num_En.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4160" b="21310"/>
                          <a:stretch/>
                        </pic:blipFill>
                        <pic:spPr bwMode="auto">
                          <a:xfrm>
                            <a:off x="0" y="0"/>
                            <a:ext cx="4680585" cy="213784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5F3B94" w:rsidRDefault="005F3B94" w:rsidP="008D3BCD">
      <w:pPr>
        <w:pStyle w:val="BodyText2"/>
        <w:tabs>
          <w:tab w:val="left" w:pos="284"/>
        </w:tabs>
        <w:bidi w:val="0"/>
        <w:rPr>
          <w:b/>
          <w:bCs/>
        </w:rPr>
      </w:pPr>
    </w:p>
    <w:p w:rsidR="008D1E0E" w:rsidRPr="00AD70D8" w:rsidRDefault="003C0C36" w:rsidP="005F3B94">
      <w:pPr>
        <w:pStyle w:val="BodyText2"/>
        <w:tabs>
          <w:tab w:val="left" w:pos="284"/>
        </w:tabs>
        <w:bidi w:val="0"/>
        <w:rPr>
          <w:b/>
          <w:bCs/>
        </w:rPr>
      </w:pPr>
      <w:r>
        <w:rPr>
          <w:b/>
          <w:bCs/>
        </w:rPr>
        <w:t>6.2</w:t>
      </w:r>
      <w:r w:rsidR="008D1E0E" w:rsidRPr="00AD70D8">
        <w:rPr>
          <w:b/>
          <w:bCs/>
        </w:rPr>
        <w:t xml:space="preserve">   Higher Education</w:t>
      </w:r>
      <w:r w:rsidR="0098497D" w:rsidRPr="00AD70D8">
        <w:rPr>
          <w:rStyle w:val="FootnoteReference"/>
          <w:b/>
          <w:bCs/>
        </w:rPr>
        <w:footnoteReference w:id="2"/>
      </w:r>
      <w:r w:rsidR="008D1E0E" w:rsidRPr="00AD70D8">
        <w:rPr>
          <w:b/>
          <w:bCs/>
        </w:rPr>
        <w:t xml:space="preserve"> </w:t>
      </w:r>
    </w:p>
    <w:p w:rsidR="00225C32" w:rsidRPr="00AD70D8" w:rsidRDefault="00225C32" w:rsidP="000477DC">
      <w:pPr>
        <w:pStyle w:val="BodyText2"/>
        <w:numPr>
          <w:ilvl w:val="0"/>
          <w:numId w:val="4"/>
        </w:numPr>
        <w:tabs>
          <w:tab w:val="left" w:pos="284"/>
        </w:tabs>
        <w:bidi w:val="0"/>
        <w:spacing w:before="80"/>
        <w:ind w:left="284" w:hanging="284"/>
      </w:pPr>
      <w:r w:rsidRPr="00AD70D8">
        <w:t xml:space="preserve">In scholastic year </w:t>
      </w:r>
      <w:r w:rsidR="00403EC1" w:rsidRPr="00AD70D8">
        <w:rPr>
          <w:rFonts w:hint="cs"/>
          <w:rtl/>
        </w:rPr>
        <w:t>2019</w:t>
      </w:r>
      <w:r w:rsidRPr="00AD70D8">
        <w:t>/</w:t>
      </w:r>
      <w:r w:rsidR="00403EC1" w:rsidRPr="00AD70D8">
        <w:t>2020</w:t>
      </w:r>
      <w:r w:rsidRPr="00AD70D8">
        <w:t xml:space="preserve">, there were </w:t>
      </w:r>
      <w:r w:rsidRPr="00AD70D8">
        <w:rPr>
          <w:rFonts w:cs="Times New Roman"/>
          <w:lang w:bidi="ar-JO"/>
        </w:rPr>
        <w:t>1</w:t>
      </w:r>
      <w:r w:rsidRPr="00AD70D8">
        <w:rPr>
          <w:rFonts w:cs="Times New Roman" w:hint="cs"/>
          <w:rtl/>
          <w:lang w:bidi="ar-JO"/>
        </w:rPr>
        <w:t>2</w:t>
      </w:r>
      <w:r w:rsidRPr="00AD70D8">
        <w:rPr>
          <w:rFonts w:cs="Times New Roman"/>
          <w:lang w:bidi="ar-JO"/>
        </w:rPr>
        <w:t>,</w:t>
      </w:r>
      <w:r w:rsidR="000477DC" w:rsidRPr="00AD70D8">
        <w:rPr>
          <w:rFonts w:cs="Times New Roman"/>
          <w:lang w:bidi="ar-JO"/>
        </w:rPr>
        <w:t>171</w:t>
      </w:r>
      <w:r w:rsidRPr="00AD70D8">
        <w:rPr>
          <w:rFonts w:cs="Times New Roman"/>
          <w:lang w:bidi="ar-JO"/>
        </w:rPr>
        <w:t xml:space="preserve"> </w:t>
      </w:r>
      <w:r w:rsidRPr="00AD70D8">
        <w:rPr>
          <w:rFonts w:cs="Times New Roman"/>
        </w:rPr>
        <w:t>university students</w:t>
      </w:r>
      <w:r w:rsidRPr="00AD70D8">
        <w:t xml:space="preserve">: </w:t>
      </w:r>
      <w:r w:rsidRPr="00AD70D8">
        <w:rPr>
          <w:rFonts w:cs="Times New Roman" w:hint="cs"/>
          <w:rtl/>
          <w:lang w:bidi="ar-JO"/>
        </w:rPr>
        <w:t>4</w:t>
      </w:r>
      <w:r w:rsidRPr="00AD70D8">
        <w:rPr>
          <w:rFonts w:cs="Times New Roman"/>
          <w:lang w:bidi="ar-JO"/>
        </w:rPr>
        <w:t>,</w:t>
      </w:r>
      <w:r w:rsidR="000477DC" w:rsidRPr="00AD70D8">
        <w:rPr>
          <w:rFonts w:cs="Times New Roman"/>
          <w:lang w:bidi="ar-JO"/>
        </w:rPr>
        <w:t>562</w:t>
      </w:r>
      <w:r w:rsidRPr="00AD70D8">
        <w:rPr>
          <w:lang w:bidi="ar-JO"/>
        </w:rPr>
        <w:t xml:space="preserve"> </w:t>
      </w:r>
      <w:r w:rsidRPr="00AD70D8">
        <w:t xml:space="preserve">males and </w:t>
      </w:r>
      <w:r w:rsidRPr="00AD70D8">
        <w:rPr>
          <w:lang w:bidi="ar-JO"/>
        </w:rPr>
        <w:t>7,</w:t>
      </w:r>
      <w:r w:rsidR="000477DC" w:rsidRPr="00AD70D8">
        <w:rPr>
          <w:lang w:bidi="ar-JO"/>
        </w:rPr>
        <w:t>609</w:t>
      </w:r>
      <w:r w:rsidRPr="00AD70D8">
        <w:rPr>
          <w:lang w:bidi="ar-JO"/>
        </w:rPr>
        <w:t xml:space="preserve"> </w:t>
      </w:r>
      <w:r w:rsidRPr="00AD70D8">
        <w:t xml:space="preserve">females. </w:t>
      </w:r>
    </w:p>
    <w:p w:rsidR="00225C32" w:rsidRPr="00AD70D8" w:rsidRDefault="00225C32" w:rsidP="000477DC">
      <w:pPr>
        <w:pStyle w:val="BodyText2"/>
        <w:numPr>
          <w:ilvl w:val="0"/>
          <w:numId w:val="4"/>
        </w:numPr>
        <w:tabs>
          <w:tab w:val="left" w:pos="284"/>
        </w:tabs>
        <w:bidi w:val="0"/>
        <w:spacing w:before="80"/>
        <w:ind w:left="284" w:hanging="284"/>
      </w:pPr>
      <w:r w:rsidRPr="00AD70D8">
        <w:t xml:space="preserve">In scholastic year </w:t>
      </w:r>
      <w:r w:rsidR="00403EC1" w:rsidRPr="00AD70D8">
        <w:rPr>
          <w:rFonts w:hint="cs"/>
          <w:rtl/>
        </w:rPr>
        <w:t>2019</w:t>
      </w:r>
      <w:r w:rsidR="00403EC1" w:rsidRPr="00AD70D8">
        <w:t>/2020</w:t>
      </w:r>
      <w:r w:rsidRPr="00AD70D8">
        <w:t xml:space="preserve">, there were </w:t>
      </w:r>
      <w:r w:rsidR="000477DC" w:rsidRPr="00AD70D8">
        <w:rPr>
          <w:lang w:bidi="ar-JO"/>
        </w:rPr>
        <w:t>350</w:t>
      </w:r>
      <w:r w:rsidRPr="00AD70D8">
        <w:t xml:space="preserve"> college students: </w:t>
      </w:r>
      <w:r w:rsidR="000477DC" w:rsidRPr="00AD70D8">
        <w:t>49</w:t>
      </w:r>
      <w:r w:rsidRPr="00AD70D8">
        <w:t xml:space="preserve"> males and </w:t>
      </w:r>
      <w:r w:rsidR="000477DC" w:rsidRPr="00AD70D8">
        <w:rPr>
          <w:rFonts w:hint="cs"/>
          <w:rtl/>
        </w:rPr>
        <w:t>301</w:t>
      </w:r>
      <w:r w:rsidRPr="00AD70D8">
        <w:t xml:space="preserve"> females.</w:t>
      </w:r>
    </w:p>
    <w:p w:rsidR="00225C32" w:rsidRPr="00AD70D8" w:rsidRDefault="00225C32" w:rsidP="001819DB">
      <w:pPr>
        <w:pStyle w:val="BodyText2"/>
        <w:numPr>
          <w:ilvl w:val="0"/>
          <w:numId w:val="4"/>
        </w:numPr>
        <w:tabs>
          <w:tab w:val="left" w:pos="284"/>
        </w:tabs>
        <w:bidi w:val="0"/>
        <w:spacing w:before="80"/>
        <w:ind w:left="284" w:hanging="284"/>
      </w:pPr>
      <w:r w:rsidRPr="00AD70D8">
        <w:t xml:space="preserve">In scholastic year </w:t>
      </w:r>
      <w:r w:rsidR="00403EC1" w:rsidRPr="00AD70D8">
        <w:t>2018</w:t>
      </w:r>
      <w:r w:rsidRPr="00AD70D8">
        <w:t>/</w:t>
      </w:r>
      <w:r w:rsidR="00403EC1" w:rsidRPr="00AD70D8">
        <w:t>2019</w:t>
      </w:r>
      <w:r w:rsidRPr="00AD70D8">
        <w:t xml:space="preserve">, there were </w:t>
      </w:r>
      <w:r w:rsidRPr="00AD70D8">
        <w:rPr>
          <w:rFonts w:cs="Times New Roman"/>
        </w:rPr>
        <w:t>2,</w:t>
      </w:r>
      <w:r w:rsidR="000477DC" w:rsidRPr="00AD70D8">
        <w:rPr>
          <w:rFonts w:cs="Times New Roman" w:hint="cs"/>
          <w:rtl/>
        </w:rPr>
        <w:t>669</w:t>
      </w:r>
      <w:r w:rsidRPr="00AD70D8">
        <w:rPr>
          <w:rFonts w:cs="Times New Roman"/>
        </w:rPr>
        <w:t xml:space="preserve"> university graduates</w:t>
      </w:r>
      <w:r w:rsidRPr="00AD70D8">
        <w:t xml:space="preserve">: </w:t>
      </w:r>
      <w:r w:rsidRPr="00AD70D8">
        <w:rPr>
          <w:rFonts w:cs="Times New Roman"/>
        </w:rPr>
        <w:t>1,</w:t>
      </w:r>
      <w:r w:rsidR="000477DC" w:rsidRPr="00AD70D8">
        <w:rPr>
          <w:rFonts w:cs="Times New Roman" w:hint="cs"/>
          <w:rtl/>
        </w:rPr>
        <w:t>008</w:t>
      </w:r>
      <w:r w:rsidRPr="00AD70D8">
        <w:t xml:space="preserve"> males and 1,</w:t>
      </w:r>
      <w:r w:rsidRPr="00AD70D8">
        <w:rPr>
          <w:rFonts w:hint="cs"/>
          <w:rtl/>
        </w:rPr>
        <w:t>6</w:t>
      </w:r>
      <w:r w:rsidR="001819DB" w:rsidRPr="00AD70D8">
        <w:rPr>
          <w:rFonts w:hint="cs"/>
          <w:rtl/>
        </w:rPr>
        <w:t>61</w:t>
      </w:r>
      <w:r w:rsidRPr="00AD70D8">
        <w:t xml:space="preserve"> females. </w:t>
      </w:r>
    </w:p>
    <w:p w:rsidR="00225C32" w:rsidRPr="00AD70D8" w:rsidRDefault="00225C32" w:rsidP="001819DB">
      <w:pPr>
        <w:pStyle w:val="BodyText2"/>
        <w:numPr>
          <w:ilvl w:val="0"/>
          <w:numId w:val="4"/>
        </w:numPr>
        <w:tabs>
          <w:tab w:val="left" w:pos="284"/>
        </w:tabs>
        <w:bidi w:val="0"/>
        <w:spacing w:before="80"/>
        <w:ind w:left="284" w:hanging="284"/>
      </w:pPr>
      <w:r w:rsidRPr="00AD70D8">
        <w:t xml:space="preserve">In scholastic year </w:t>
      </w:r>
      <w:r w:rsidR="00403EC1" w:rsidRPr="00AD70D8">
        <w:t>2018</w:t>
      </w:r>
      <w:r w:rsidRPr="00AD70D8">
        <w:t>/</w:t>
      </w:r>
      <w:r w:rsidR="00403EC1" w:rsidRPr="00AD70D8">
        <w:t>2019</w:t>
      </w:r>
      <w:r w:rsidRPr="00AD70D8">
        <w:t xml:space="preserve">, there were </w:t>
      </w:r>
      <w:r w:rsidR="001819DB" w:rsidRPr="00AD70D8">
        <w:rPr>
          <w:rFonts w:hint="cs"/>
          <w:rtl/>
        </w:rPr>
        <w:t>114</w:t>
      </w:r>
      <w:r w:rsidRPr="00AD70D8">
        <w:t xml:space="preserve"> college graduates: </w:t>
      </w:r>
      <w:r w:rsidR="001819DB" w:rsidRPr="00AD70D8">
        <w:rPr>
          <w:rFonts w:hint="cs"/>
          <w:rtl/>
        </w:rPr>
        <w:t>11</w:t>
      </w:r>
      <w:r w:rsidRPr="00AD70D8">
        <w:t xml:space="preserve"> males and </w:t>
      </w:r>
      <w:r w:rsidR="001819DB" w:rsidRPr="00AD70D8">
        <w:rPr>
          <w:rFonts w:hint="cs"/>
          <w:rtl/>
        </w:rPr>
        <w:t>103</w:t>
      </w:r>
      <w:r w:rsidRPr="00AD70D8">
        <w:rPr>
          <w:rFonts w:hint="cs"/>
          <w:rtl/>
        </w:rPr>
        <w:t xml:space="preserve"> </w:t>
      </w:r>
      <w:r w:rsidRPr="00AD70D8">
        <w:t>females.</w:t>
      </w:r>
    </w:p>
    <w:p w:rsidR="00F06D33" w:rsidRPr="00AD70D8" w:rsidRDefault="00F06D33" w:rsidP="00796931">
      <w:pPr>
        <w:jc w:val="lowKashida"/>
        <w:rPr>
          <w:b/>
          <w:bCs/>
          <w:sz w:val="16"/>
          <w:szCs w:val="16"/>
        </w:rPr>
      </w:pPr>
    </w:p>
    <w:p w:rsidR="008643D6" w:rsidRPr="005F3B94" w:rsidRDefault="008643D6" w:rsidP="005F3B94">
      <w:pPr>
        <w:pStyle w:val="BodyTextIndent"/>
        <w:numPr>
          <w:ilvl w:val="0"/>
          <w:numId w:val="21"/>
        </w:numPr>
        <w:bidi w:val="0"/>
        <w:ind w:left="210" w:hanging="210"/>
        <w:jc w:val="both"/>
        <w:rPr>
          <w:b/>
          <w:bCs/>
          <w:sz w:val="22"/>
          <w:szCs w:val="22"/>
        </w:rPr>
      </w:pPr>
      <w:r w:rsidRPr="005F3B94">
        <w:rPr>
          <w:b/>
          <w:bCs/>
          <w:sz w:val="22"/>
          <w:szCs w:val="22"/>
        </w:rPr>
        <w:t xml:space="preserve">Culture </w:t>
      </w:r>
    </w:p>
    <w:p w:rsidR="008D3BCD" w:rsidRPr="00AD70D8" w:rsidRDefault="008D3BCD" w:rsidP="008D3BCD">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 xml:space="preserve">In </w:t>
      </w:r>
      <w:r w:rsidRPr="00AD70D8">
        <w:rPr>
          <w:rFonts w:asciiTheme="majorBidi" w:hAnsiTheme="majorBidi" w:cstheme="majorBidi" w:hint="cs"/>
          <w:rtl/>
        </w:rPr>
        <w:t>2020</w:t>
      </w:r>
      <w:r w:rsidRPr="00AD70D8">
        <w:rPr>
          <w:rFonts w:asciiTheme="majorBidi" w:hAnsiTheme="majorBidi" w:cstheme="majorBidi"/>
        </w:rPr>
        <w:t>, there were 51 cultural centers operating in Jerusalem Governorate.</w:t>
      </w:r>
    </w:p>
    <w:p w:rsidR="008D3BCD" w:rsidRPr="00AD70D8" w:rsidRDefault="008D3BCD" w:rsidP="008D3BCD">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 xml:space="preserve">In </w:t>
      </w:r>
      <w:r w:rsidRPr="00AD70D8">
        <w:rPr>
          <w:rFonts w:asciiTheme="majorBidi" w:hAnsiTheme="majorBidi" w:cstheme="majorBidi" w:hint="cs"/>
          <w:rtl/>
        </w:rPr>
        <w:t>2020</w:t>
      </w:r>
      <w:r w:rsidRPr="00AD70D8">
        <w:rPr>
          <w:rFonts w:asciiTheme="majorBidi" w:hAnsiTheme="majorBidi" w:cstheme="majorBidi"/>
        </w:rPr>
        <w:t xml:space="preserve">, there were </w:t>
      </w:r>
      <w:r w:rsidRPr="00AD70D8">
        <w:rPr>
          <w:rFonts w:asciiTheme="majorBidi" w:hAnsiTheme="majorBidi" w:cstheme="majorBidi"/>
          <w:rtl/>
        </w:rPr>
        <w:t>4</w:t>
      </w:r>
      <w:r w:rsidRPr="00AD70D8">
        <w:rPr>
          <w:rFonts w:asciiTheme="majorBidi" w:hAnsiTheme="majorBidi" w:cstheme="majorBidi"/>
        </w:rPr>
        <w:t xml:space="preserve"> museums operating in Jerusalem Governorate.</w:t>
      </w:r>
    </w:p>
    <w:p w:rsidR="008D3BCD" w:rsidRPr="00AD70D8" w:rsidRDefault="008D3BCD" w:rsidP="008D3BCD">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 xml:space="preserve">In </w:t>
      </w:r>
      <w:r w:rsidRPr="00AD70D8">
        <w:rPr>
          <w:rFonts w:asciiTheme="majorBidi" w:hAnsiTheme="majorBidi" w:cstheme="majorBidi" w:hint="cs"/>
          <w:rtl/>
        </w:rPr>
        <w:t>2020</w:t>
      </w:r>
      <w:r w:rsidRPr="00AD70D8">
        <w:rPr>
          <w:rFonts w:asciiTheme="majorBidi" w:hAnsiTheme="majorBidi" w:cstheme="majorBidi"/>
        </w:rPr>
        <w:t xml:space="preserve">, there were 2 theaters operating in Jerusalem Governorate. </w:t>
      </w:r>
    </w:p>
    <w:p w:rsidR="008D3BCD" w:rsidRDefault="008D3BCD" w:rsidP="00FA387D">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In 2019, there were 122 mosques operating in Jerusalem Governorate</w:t>
      </w:r>
      <w:r w:rsidR="00FA387D">
        <w:rPr>
          <w:rFonts w:asciiTheme="majorBidi" w:hAnsiTheme="majorBidi" w:cstheme="majorBidi"/>
        </w:rPr>
        <w:t>.</w:t>
      </w:r>
    </w:p>
    <w:p w:rsidR="00146BD8" w:rsidRPr="00AD70D8" w:rsidRDefault="00146BD8" w:rsidP="00796931">
      <w:pPr>
        <w:ind w:left="288"/>
        <w:jc w:val="lowKashida"/>
        <w:rPr>
          <w:rFonts w:cs="Traditional Arabic"/>
          <w:b/>
          <w:bCs/>
          <w:sz w:val="18"/>
          <w:szCs w:val="18"/>
        </w:rPr>
      </w:pPr>
    </w:p>
    <w:p w:rsidR="002A4A36" w:rsidRPr="005F3B94" w:rsidRDefault="002A4A36" w:rsidP="005F3B94">
      <w:pPr>
        <w:pStyle w:val="BodyTextIndent"/>
        <w:numPr>
          <w:ilvl w:val="0"/>
          <w:numId w:val="21"/>
        </w:numPr>
        <w:bidi w:val="0"/>
        <w:ind w:left="210" w:hanging="210"/>
        <w:jc w:val="both"/>
        <w:rPr>
          <w:b/>
          <w:bCs/>
          <w:sz w:val="22"/>
          <w:szCs w:val="22"/>
        </w:rPr>
      </w:pPr>
      <w:r w:rsidRPr="005F3B94">
        <w:rPr>
          <w:b/>
          <w:bCs/>
          <w:sz w:val="22"/>
          <w:szCs w:val="22"/>
        </w:rPr>
        <w:t xml:space="preserve">Information Society </w:t>
      </w:r>
    </w:p>
    <w:p w:rsidR="00CD56AE" w:rsidRPr="00AD70D8" w:rsidRDefault="00CD56AE" w:rsidP="0041219D">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 xml:space="preserve">In </w:t>
      </w:r>
      <w:r w:rsidR="0041219D" w:rsidRPr="00AD70D8">
        <w:rPr>
          <w:rFonts w:asciiTheme="majorBidi" w:hAnsiTheme="majorBidi" w:cstheme="majorBidi"/>
        </w:rPr>
        <w:t>2019</w:t>
      </w:r>
      <w:r w:rsidRPr="00AD70D8">
        <w:rPr>
          <w:rFonts w:asciiTheme="majorBidi" w:hAnsiTheme="majorBidi" w:cstheme="majorBidi"/>
        </w:rPr>
        <w:t xml:space="preserve">, </w:t>
      </w:r>
      <w:r w:rsidR="00824147" w:rsidRPr="00AD70D8">
        <w:rPr>
          <w:rFonts w:asciiTheme="majorBidi" w:hAnsiTheme="majorBidi" w:cstheme="majorBidi"/>
        </w:rPr>
        <w:t>41.0</w:t>
      </w:r>
      <w:r w:rsidRPr="00AD70D8">
        <w:rPr>
          <w:rFonts w:asciiTheme="majorBidi" w:hAnsiTheme="majorBidi" w:cstheme="majorBidi"/>
        </w:rPr>
        <w:t xml:space="preserve">% of households in Jerusalem Governorate owned a computer (Desktop, Laptop, </w:t>
      </w:r>
      <w:r w:rsidR="00922C97" w:rsidRPr="00AD70D8">
        <w:rPr>
          <w:rFonts w:asciiTheme="majorBidi" w:hAnsiTheme="majorBidi" w:cstheme="majorBidi"/>
        </w:rPr>
        <w:t xml:space="preserve">or </w:t>
      </w:r>
      <w:r w:rsidRPr="00AD70D8">
        <w:rPr>
          <w:rFonts w:asciiTheme="majorBidi" w:hAnsiTheme="majorBidi" w:cstheme="majorBidi"/>
        </w:rPr>
        <w:t>Tablet).</w:t>
      </w:r>
    </w:p>
    <w:p w:rsidR="00F06D33" w:rsidRPr="00AD70D8" w:rsidRDefault="00CD56AE" w:rsidP="0041219D">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lastRenderedPageBreak/>
        <w:t xml:space="preserve">In </w:t>
      </w:r>
      <w:r w:rsidR="0041219D" w:rsidRPr="00AD70D8">
        <w:rPr>
          <w:rFonts w:asciiTheme="majorBidi" w:hAnsiTheme="majorBidi" w:cstheme="majorBidi"/>
        </w:rPr>
        <w:t>2019</w:t>
      </w:r>
      <w:r w:rsidRPr="00AD70D8">
        <w:rPr>
          <w:rFonts w:asciiTheme="majorBidi" w:hAnsiTheme="majorBidi" w:cstheme="majorBidi"/>
        </w:rPr>
        <w:t xml:space="preserve">, </w:t>
      </w:r>
      <w:r w:rsidR="00824147" w:rsidRPr="00AD70D8">
        <w:rPr>
          <w:rFonts w:asciiTheme="majorBidi" w:hAnsiTheme="majorBidi" w:cstheme="majorBidi"/>
        </w:rPr>
        <w:t>36.4</w:t>
      </w:r>
      <w:r w:rsidRPr="00AD70D8">
        <w:rPr>
          <w:rFonts w:asciiTheme="majorBidi" w:hAnsiTheme="majorBidi" w:cstheme="majorBidi"/>
        </w:rPr>
        <w:t xml:space="preserve">% of households in Jerusalem Governorate used a Palestinian Internet service compared to </w:t>
      </w:r>
      <w:r w:rsidR="00824147" w:rsidRPr="00AD70D8">
        <w:rPr>
          <w:rFonts w:asciiTheme="majorBidi" w:hAnsiTheme="majorBidi" w:cstheme="majorBidi"/>
        </w:rPr>
        <w:t>71.1</w:t>
      </w:r>
      <w:r w:rsidRPr="00AD70D8">
        <w:rPr>
          <w:rFonts w:asciiTheme="majorBidi" w:hAnsiTheme="majorBidi" w:cstheme="majorBidi"/>
        </w:rPr>
        <w:t>% who used an Israeli internet service.</w:t>
      </w:r>
    </w:p>
    <w:p w:rsidR="00CD56AE" w:rsidRPr="00AD70D8" w:rsidRDefault="00CD56AE" w:rsidP="00CD56AE">
      <w:pPr>
        <w:pStyle w:val="Header"/>
        <w:tabs>
          <w:tab w:val="clear" w:pos="4153"/>
          <w:tab w:val="clear" w:pos="8306"/>
        </w:tabs>
        <w:jc w:val="center"/>
        <w:outlineLvl w:val="0"/>
        <w:rPr>
          <w:rFonts w:ascii="Arial" w:hAnsi="Arial" w:cs="Arial"/>
          <w:b/>
          <w:bCs/>
          <w:sz w:val="18"/>
          <w:szCs w:val="18"/>
        </w:rPr>
      </w:pPr>
    </w:p>
    <w:p w:rsidR="00CD56AE" w:rsidRPr="00AD70D8" w:rsidRDefault="00CD56AE" w:rsidP="0041219D">
      <w:pPr>
        <w:jc w:val="center"/>
        <w:rPr>
          <w:rFonts w:ascii="Arial" w:hAnsi="Arial" w:cs="Arial"/>
          <w:b/>
          <w:bCs/>
          <w:sz w:val="18"/>
          <w:szCs w:val="18"/>
        </w:rPr>
      </w:pPr>
      <w:r w:rsidRPr="00AD70D8">
        <w:rPr>
          <w:rFonts w:ascii="Arial" w:hAnsi="Arial" w:cs="Arial"/>
          <w:b/>
          <w:bCs/>
          <w:sz w:val="18"/>
          <w:szCs w:val="18"/>
        </w:rPr>
        <w:t xml:space="preserve">Percentage of Palestinian Households in Jerusalem Governorate by Availability of ICT Tools, </w:t>
      </w:r>
      <w:r w:rsidR="0041219D" w:rsidRPr="00AD70D8">
        <w:rPr>
          <w:rFonts w:ascii="Arial" w:hAnsi="Arial" w:cs="Arial"/>
          <w:b/>
          <w:bCs/>
          <w:sz w:val="18"/>
          <w:szCs w:val="18"/>
        </w:rPr>
        <w:t>2019</w:t>
      </w:r>
    </w:p>
    <w:p w:rsidR="00CD56AE" w:rsidRPr="00AD70D8" w:rsidRDefault="00CD56AE" w:rsidP="00CD56AE">
      <w:pPr>
        <w:tabs>
          <w:tab w:val="left" w:pos="5867"/>
        </w:tabs>
        <w:ind w:left="1"/>
        <w:rPr>
          <w:rFonts w:cs="Simplified Arabic"/>
          <w:sz w:val="8"/>
          <w:szCs w:val="8"/>
          <w:rtl/>
        </w:rPr>
      </w:pPr>
      <w:r w:rsidRPr="00AD70D8">
        <w:rPr>
          <w:rFonts w:cs="Simplified Arabic"/>
          <w:sz w:val="8"/>
          <w:szCs w:val="8"/>
          <w:rtl/>
        </w:rPr>
        <w:tab/>
      </w:r>
    </w:p>
    <w:p w:rsidR="00CD56AE" w:rsidRPr="00AD70D8" w:rsidRDefault="00CD56AE" w:rsidP="00CD56AE">
      <w:pPr>
        <w:ind w:left="1"/>
        <w:jc w:val="center"/>
        <w:rPr>
          <w:rFonts w:cs="Simplified Arabic"/>
          <w:sz w:val="24"/>
          <w:szCs w:val="24"/>
          <w:rtl/>
        </w:rPr>
      </w:pPr>
      <w:r w:rsidRPr="00AD70D8">
        <w:rPr>
          <w:rFonts w:cs="Simplified Arabic"/>
          <w:noProof/>
          <w:sz w:val="24"/>
          <w:szCs w:val="24"/>
          <w:bdr w:val="single" w:sz="4" w:space="0" w:color="auto"/>
        </w:rPr>
        <w:drawing>
          <wp:inline distT="0" distB="0" distL="0" distR="0">
            <wp:extent cx="4644000" cy="2234484"/>
            <wp:effectExtent l="0" t="0" r="0" b="0"/>
            <wp:docPr id="1" name="Object 28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02F46" w:rsidRPr="00AD70D8" w:rsidRDefault="00602F46" w:rsidP="00D81336">
      <w:pPr>
        <w:jc w:val="lowKashida"/>
        <w:rPr>
          <w:b/>
          <w:bCs/>
          <w:sz w:val="10"/>
          <w:szCs w:val="10"/>
        </w:rPr>
      </w:pPr>
    </w:p>
    <w:p w:rsidR="002A4C12" w:rsidRDefault="002A4C12" w:rsidP="00693F92">
      <w:pPr>
        <w:jc w:val="lowKashida"/>
        <w:rPr>
          <w:b/>
          <w:bCs/>
          <w:sz w:val="10"/>
          <w:szCs w:val="10"/>
        </w:rPr>
      </w:pPr>
    </w:p>
    <w:p w:rsidR="005F3B94" w:rsidRPr="00AD70D8" w:rsidRDefault="005F3B94" w:rsidP="00693F92">
      <w:pPr>
        <w:jc w:val="lowKashida"/>
        <w:rPr>
          <w:b/>
          <w:bCs/>
          <w:sz w:val="10"/>
          <w:szCs w:val="10"/>
        </w:rPr>
      </w:pPr>
    </w:p>
    <w:p w:rsidR="002A4C12" w:rsidRPr="00AD70D8" w:rsidRDefault="002A4C12" w:rsidP="00693F92">
      <w:pPr>
        <w:jc w:val="lowKashida"/>
        <w:rPr>
          <w:b/>
          <w:bCs/>
          <w:sz w:val="10"/>
          <w:szCs w:val="10"/>
        </w:rPr>
      </w:pPr>
    </w:p>
    <w:p w:rsidR="00D81336" w:rsidRPr="005F3B94" w:rsidRDefault="00D81336" w:rsidP="005F3B94">
      <w:pPr>
        <w:pStyle w:val="BodyTextIndent"/>
        <w:numPr>
          <w:ilvl w:val="0"/>
          <w:numId w:val="21"/>
        </w:numPr>
        <w:bidi w:val="0"/>
        <w:ind w:left="210" w:hanging="210"/>
        <w:jc w:val="both"/>
        <w:rPr>
          <w:b/>
          <w:bCs/>
          <w:sz w:val="22"/>
          <w:szCs w:val="22"/>
        </w:rPr>
      </w:pPr>
      <w:r w:rsidRPr="005F3B94">
        <w:rPr>
          <w:b/>
          <w:bCs/>
          <w:sz w:val="22"/>
          <w:szCs w:val="22"/>
        </w:rPr>
        <w:t xml:space="preserve">Buildings </w:t>
      </w:r>
    </w:p>
    <w:p w:rsidR="005847A1" w:rsidRPr="00AD70D8" w:rsidRDefault="00D81336" w:rsidP="005847A1">
      <w:pPr>
        <w:pStyle w:val="BodyText2"/>
        <w:numPr>
          <w:ilvl w:val="0"/>
          <w:numId w:val="4"/>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 xml:space="preserve">The number of buildings in Jerusalem Governorate that were counted during the period from 16/09/2017 to 31/10/2017 was </w:t>
      </w:r>
      <w:r w:rsidR="00FC2814" w:rsidRPr="00AD70D8">
        <w:rPr>
          <w:rFonts w:asciiTheme="majorBidi" w:hAnsiTheme="majorBidi" w:cstheme="majorBidi"/>
        </w:rPr>
        <w:t>40,745</w:t>
      </w:r>
      <w:r w:rsidRPr="00AD70D8">
        <w:rPr>
          <w:rFonts w:asciiTheme="majorBidi" w:hAnsiTheme="majorBidi" w:cstheme="majorBidi"/>
        </w:rPr>
        <w:t xml:space="preserve"> buildings, of which 17,989 were in </w:t>
      </w:r>
      <w:r w:rsidR="004F46DE" w:rsidRPr="00AD70D8">
        <w:t>Jerusalem</w:t>
      </w:r>
      <w:r w:rsidR="004F46DE" w:rsidRPr="00AD70D8" w:rsidDel="004F46DE">
        <w:rPr>
          <w:rFonts w:asciiTheme="majorBidi" w:hAnsiTheme="majorBidi" w:cstheme="majorBidi"/>
        </w:rPr>
        <w:t xml:space="preserve"> </w:t>
      </w:r>
      <w:r w:rsidR="004F46DE" w:rsidRPr="00AD70D8">
        <w:rPr>
          <w:rFonts w:asciiTheme="majorBidi" w:hAnsiTheme="majorBidi" w:cstheme="majorBidi"/>
        </w:rPr>
        <w:t>(</w:t>
      </w:r>
      <w:r w:rsidRPr="00AD70D8">
        <w:rPr>
          <w:rFonts w:asciiTheme="majorBidi" w:hAnsiTheme="majorBidi" w:cstheme="majorBidi"/>
        </w:rPr>
        <w:t>J1</w:t>
      </w:r>
      <w:r w:rsidR="004F46DE" w:rsidRPr="00AD70D8">
        <w:rPr>
          <w:rFonts w:asciiTheme="majorBidi" w:hAnsiTheme="majorBidi" w:cstheme="majorBidi"/>
        </w:rPr>
        <w:t>)</w:t>
      </w:r>
      <w:r w:rsidRPr="00AD70D8">
        <w:rPr>
          <w:rFonts w:asciiTheme="majorBidi" w:hAnsiTheme="majorBidi" w:cstheme="majorBidi"/>
        </w:rPr>
        <w:t xml:space="preserve">, and </w:t>
      </w:r>
      <w:r w:rsidR="00FC2814" w:rsidRPr="00AD70D8">
        <w:rPr>
          <w:rFonts w:asciiTheme="majorBidi" w:hAnsiTheme="majorBidi" w:cstheme="majorBidi"/>
        </w:rPr>
        <w:t>22,756</w:t>
      </w:r>
      <w:r w:rsidRPr="00AD70D8">
        <w:rPr>
          <w:rFonts w:asciiTheme="majorBidi" w:hAnsiTheme="majorBidi" w:cstheme="majorBidi"/>
        </w:rPr>
        <w:t xml:space="preserve"> in </w:t>
      </w:r>
      <w:r w:rsidR="004F46DE" w:rsidRPr="00AD70D8">
        <w:t>Jerusalem</w:t>
      </w:r>
      <w:r w:rsidR="004F46DE" w:rsidRPr="00AD70D8" w:rsidDel="004F46DE">
        <w:rPr>
          <w:rFonts w:asciiTheme="majorBidi" w:hAnsiTheme="majorBidi" w:cstheme="majorBidi"/>
        </w:rPr>
        <w:t xml:space="preserve"> </w:t>
      </w:r>
      <w:r w:rsidR="004F46DE" w:rsidRPr="00AD70D8">
        <w:rPr>
          <w:rFonts w:asciiTheme="majorBidi" w:hAnsiTheme="majorBidi" w:cstheme="majorBidi"/>
        </w:rPr>
        <w:t>(</w:t>
      </w:r>
      <w:r w:rsidRPr="00AD70D8">
        <w:rPr>
          <w:rFonts w:asciiTheme="majorBidi" w:hAnsiTheme="majorBidi" w:cstheme="majorBidi"/>
        </w:rPr>
        <w:t>J2</w:t>
      </w:r>
      <w:r w:rsidR="004F46DE" w:rsidRPr="00AD70D8">
        <w:rPr>
          <w:rFonts w:asciiTheme="majorBidi" w:hAnsiTheme="majorBidi" w:cstheme="majorBidi"/>
        </w:rPr>
        <w:t>)</w:t>
      </w:r>
      <w:r w:rsidRPr="00AD70D8">
        <w:rPr>
          <w:rFonts w:asciiTheme="majorBidi" w:hAnsiTheme="majorBidi" w:cstheme="majorBidi"/>
          <w:rtl/>
        </w:rPr>
        <w:t>.</w:t>
      </w:r>
      <w:r w:rsidRPr="00AD70D8">
        <w:rPr>
          <w:rFonts w:asciiTheme="majorBidi" w:hAnsiTheme="majorBidi" w:cstheme="majorBidi"/>
        </w:rPr>
        <w:t xml:space="preserve"> </w:t>
      </w:r>
    </w:p>
    <w:p w:rsidR="00844F19" w:rsidRPr="00AD70D8" w:rsidRDefault="00844F19">
      <w:pPr>
        <w:overflowPunct/>
        <w:autoSpaceDE/>
        <w:autoSpaceDN/>
        <w:adjustRightInd/>
        <w:textAlignment w:val="auto"/>
        <w:rPr>
          <w:rFonts w:ascii="Arial" w:hAnsi="Arial" w:cs="Arial"/>
          <w:b/>
          <w:bCs/>
          <w:sz w:val="18"/>
          <w:szCs w:val="18"/>
        </w:rPr>
      </w:pPr>
    </w:p>
    <w:p w:rsidR="002A4C12" w:rsidRPr="00AD70D8" w:rsidRDefault="002A4C12" w:rsidP="003B7092">
      <w:pPr>
        <w:jc w:val="center"/>
        <w:rPr>
          <w:rFonts w:ascii="Arial" w:hAnsi="Arial" w:cs="Arial"/>
          <w:b/>
          <w:bCs/>
          <w:sz w:val="18"/>
          <w:szCs w:val="18"/>
        </w:rPr>
      </w:pPr>
      <w:r w:rsidRPr="00AD70D8">
        <w:rPr>
          <w:rFonts w:ascii="Arial" w:hAnsi="Arial" w:cs="Arial"/>
          <w:b/>
          <w:bCs/>
          <w:sz w:val="18"/>
          <w:szCs w:val="18"/>
        </w:rPr>
        <w:t>Number of Buildings in</w:t>
      </w:r>
      <w:r w:rsidRPr="00AD70D8">
        <w:rPr>
          <w:rFonts w:ascii="Arial" w:hAnsi="Arial"/>
          <w:b/>
          <w:bCs/>
          <w:sz w:val="18"/>
          <w:szCs w:val="18"/>
        </w:rPr>
        <w:t xml:space="preserve"> Jerusalem</w:t>
      </w:r>
      <w:r w:rsidRPr="00AD70D8">
        <w:rPr>
          <w:rFonts w:ascii="Arial" w:hAnsi="Arial" w:cs="Arial"/>
          <w:b/>
          <w:bCs/>
          <w:sz w:val="18"/>
          <w:szCs w:val="18"/>
        </w:rPr>
        <w:t xml:space="preserve"> Governorate by </w:t>
      </w:r>
      <w:r w:rsidRPr="00AD70D8">
        <w:rPr>
          <w:rFonts w:ascii="Arial" w:hAnsi="Arial"/>
          <w:b/>
          <w:bCs/>
          <w:sz w:val="18"/>
          <w:szCs w:val="18"/>
        </w:rPr>
        <w:t>Area</w:t>
      </w:r>
      <w:r w:rsidRPr="00AD70D8">
        <w:rPr>
          <w:rFonts w:ascii="Arial" w:hAnsi="Arial" w:cs="Arial"/>
          <w:b/>
          <w:bCs/>
          <w:sz w:val="18"/>
          <w:szCs w:val="18"/>
        </w:rPr>
        <w:t>, 2017</w:t>
      </w:r>
    </w:p>
    <w:p w:rsidR="002A4C12" w:rsidRPr="00AD70D8" w:rsidRDefault="002A4C12" w:rsidP="002A4C12">
      <w:pPr>
        <w:jc w:val="center"/>
        <w:rPr>
          <w:rFonts w:ascii="Arial" w:hAnsi="Arial" w:cs="Arial"/>
          <w:b/>
          <w:bCs/>
          <w:sz w:val="10"/>
          <w:szCs w:val="10"/>
        </w:rPr>
      </w:pPr>
      <w:r w:rsidRPr="00AD70D8">
        <w:rPr>
          <w:rFonts w:ascii="Arial" w:hAnsi="Arial" w:cs="Arial"/>
          <w:b/>
          <w:bCs/>
          <w:sz w:val="10"/>
          <w:szCs w:val="10"/>
        </w:rPr>
        <w:t xml:space="preserve"> </w:t>
      </w:r>
    </w:p>
    <w:p w:rsidR="002A4C12" w:rsidRPr="00AD70D8" w:rsidRDefault="002A4C12" w:rsidP="002A4C12">
      <w:pPr>
        <w:jc w:val="right"/>
        <w:rPr>
          <w:rFonts w:cs="Simplified Arabic"/>
          <w:rtl/>
        </w:rPr>
      </w:pPr>
      <w:r w:rsidRPr="00AD70D8">
        <w:rPr>
          <w:rFonts w:cs="Simplified Arabic" w:hint="cs"/>
          <w:noProof/>
          <w:bdr w:val="single" w:sz="4" w:space="0" w:color="auto"/>
          <w:rtl/>
        </w:rPr>
        <w:drawing>
          <wp:inline distT="0" distB="0" distL="0" distR="0">
            <wp:extent cx="4687910" cy="2086378"/>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06D33" w:rsidRPr="00AD70D8" w:rsidRDefault="00F06D33" w:rsidP="00AA2087">
      <w:pPr>
        <w:jc w:val="lowKashida"/>
        <w:rPr>
          <w:b/>
          <w:bCs/>
        </w:rPr>
      </w:pPr>
    </w:p>
    <w:p w:rsidR="00AA2087" w:rsidRPr="005F3B94" w:rsidRDefault="00AA2087"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 xml:space="preserve">Housing </w:t>
      </w:r>
    </w:p>
    <w:p w:rsidR="00AA2087" w:rsidRPr="00AD70D8" w:rsidRDefault="00AA2087" w:rsidP="00AA2087">
      <w:pPr>
        <w:pStyle w:val="BodyText2"/>
        <w:numPr>
          <w:ilvl w:val="0"/>
          <w:numId w:val="18"/>
        </w:numPr>
        <w:tabs>
          <w:tab w:val="left" w:pos="284"/>
        </w:tabs>
        <w:bidi w:val="0"/>
        <w:spacing w:before="80"/>
        <w:ind w:left="284" w:hanging="284"/>
        <w:rPr>
          <w:rFonts w:asciiTheme="majorBidi" w:hAnsiTheme="majorBidi" w:cstheme="majorBidi"/>
        </w:rPr>
      </w:pPr>
      <w:r w:rsidRPr="00AD70D8">
        <w:rPr>
          <w:rFonts w:asciiTheme="majorBidi" w:hAnsiTheme="majorBidi" w:cstheme="majorBidi"/>
        </w:rPr>
        <w:t xml:space="preserve">In 2019, the average number of rooms per housing unit in Jerusalem Governorate was 3.1 rooms.  </w:t>
      </w:r>
    </w:p>
    <w:p w:rsidR="0041219D" w:rsidRPr="00AD70D8" w:rsidRDefault="00AA2087" w:rsidP="0041219D">
      <w:pPr>
        <w:pStyle w:val="BodyText2"/>
        <w:numPr>
          <w:ilvl w:val="0"/>
          <w:numId w:val="18"/>
        </w:numPr>
        <w:tabs>
          <w:tab w:val="left" w:pos="284"/>
        </w:tabs>
        <w:bidi w:val="0"/>
        <w:spacing w:before="80"/>
        <w:ind w:left="284" w:hanging="284"/>
        <w:jc w:val="both"/>
        <w:rPr>
          <w:rFonts w:asciiTheme="majorBidi" w:hAnsiTheme="majorBidi" w:cstheme="majorBidi"/>
        </w:rPr>
      </w:pPr>
      <w:r w:rsidRPr="00AD70D8">
        <w:rPr>
          <w:rFonts w:asciiTheme="majorBidi" w:hAnsiTheme="majorBidi" w:cstheme="majorBidi"/>
        </w:rPr>
        <w:lastRenderedPageBreak/>
        <w:t xml:space="preserve">In 2019, the average housing density in Jerusalem Governorate was 1.4 person per room. </w:t>
      </w:r>
    </w:p>
    <w:p w:rsidR="0041219D" w:rsidRPr="00AD70D8" w:rsidRDefault="0041219D" w:rsidP="0041219D">
      <w:pPr>
        <w:pStyle w:val="BodyText2"/>
        <w:tabs>
          <w:tab w:val="left" w:pos="284"/>
        </w:tabs>
        <w:bidi w:val="0"/>
        <w:spacing w:before="80"/>
        <w:ind w:left="284"/>
        <w:jc w:val="both"/>
        <w:rPr>
          <w:rFonts w:asciiTheme="majorBidi" w:hAnsiTheme="majorBidi" w:cstheme="majorBidi"/>
        </w:rPr>
      </w:pPr>
    </w:p>
    <w:tbl>
      <w:tblPr>
        <w:bidiVisual/>
        <w:tblW w:w="7371" w:type="dxa"/>
        <w:jc w:val="center"/>
        <w:tblLook w:val="04A0" w:firstRow="1" w:lastRow="0" w:firstColumn="1" w:lastColumn="0" w:noHBand="0" w:noVBand="1"/>
      </w:tblPr>
      <w:tblGrid>
        <w:gridCol w:w="7371"/>
      </w:tblGrid>
      <w:tr w:rsidR="00AD70D8" w:rsidRPr="00AD70D8" w:rsidTr="00AA2087">
        <w:trPr>
          <w:trHeight w:val="312"/>
          <w:jc w:val="center"/>
        </w:trPr>
        <w:tc>
          <w:tcPr>
            <w:tcW w:w="7371" w:type="dxa"/>
            <w:vAlign w:val="center"/>
            <w:hideMark/>
          </w:tcPr>
          <w:p w:rsidR="00AA2087" w:rsidRPr="00AD70D8" w:rsidRDefault="00AA2087">
            <w:pPr>
              <w:pStyle w:val="xl42"/>
              <w:pBdr>
                <w:bottom w:val="none" w:sz="0" w:space="0" w:color="auto"/>
                <w:right w:val="none" w:sz="0" w:space="0" w:color="auto"/>
              </w:pBdr>
              <w:spacing w:before="0" w:beforeAutospacing="0" w:after="0" w:afterAutospacing="0"/>
              <w:ind w:left="-1"/>
              <w:rPr>
                <w:rFonts w:ascii="Arial" w:hAnsi="Arial" w:cs="Arial"/>
                <w:lang w:eastAsia="en-US"/>
              </w:rPr>
            </w:pPr>
            <w:r w:rsidRPr="00AD70D8">
              <w:rPr>
                <w:rFonts w:ascii="Arial" w:hAnsi="Arial" w:cs="Arial"/>
                <w:lang w:eastAsia="en-US"/>
              </w:rPr>
              <w:t>Percentage of Households in Jerusalem Governorate by Type of Housing</w:t>
            </w:r>
            <w:r w:rsidR="0041219D" w:rsidRPr="00AD70D8">
              <w:rPr>
                <w:rFonts w:ascii="Arial" w:hAnsi="Arial" w:cs="Arial"/>
                <w:lang w:eastAsia="en-US"/>
              </w:rPr>
              <w:t xml:space="preserve">         </w:t>
            </w:r>
            <w:r w:rsidRPr="00AD70D8">
              <w:rPr>
                <w:rFonts w:ascii="Arial" w:hAnsi="Arial" w:cs="Arial"/>
                <w:lang w:eastAsia="en-US"/>
              </w:rPr>
              <w:t xml:space="preserve"> Unit, 2019</w:t>
            </w:r>
          </w:p>
        </w:tc>
      </w:tr>
    </w:tbl>
    <w:p w:rsidR="00AA2087" w:rsidRPr="00AD70D8" w:rsidRDefault="00AA2087" w:rsidP="00AA2087">
      <w:pPr>
        <w:pStyle w:val="ListParagraph"/>
        <w:numPr>
          <w:ilvl w:val="0"/>
          <w:numId w:val="18"/>
        </w:numPr>
        <w:tabs>
          <w:tab w:val="left" w:pos="5867"/>
        </w:tabs>
        <w:textAlignment w:val="auto"/>
        <w:rPr>
          <w:rFonts w:cs="Simplified Arabic"/>
          <w:sz w:val="6"/>
          <w:szCs w:val="6"/>
        </w:rPr>
      </w:pPr>
      <w:r w:rsidRPr="00AD70D8">
        <w:rPr>
          <w:rFonts w:cs="Simplified Arabic"/>
          <w:sz w:val="8"/>
          <w:szCs w:val="8"/>
          <w:rtl/>
        </w:rPr>
        <w:tab/>
      </w:r>
    </w:p>
    <w:p w:rsidR="00AA2087" w:rsidRPr="00AD70D8" w:rsidRDefault="006604E9" w:rsidP="00AA2087">
      <w:pPr>
        <w:jc w:val="center"/>
        <w:rPr>
          <w:rFonts w:cs="Simplified Arabic"/>
          <w:sz w:val="24"/>
          <w:szCs w:val="24"/>
        </w:rPr>
      </w:pPr>
      <w:r>
        <w:rPr>
          <w:noProof/>
          <w:bdr w:val="single" w:sz="4" w:space="0" w:color="auto"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169.9pt;visibility:visible" o:gfxdata="UEsDBBQABgAIAAAAIQAnfCIfKQEAAAwDAAATAAAAW0NvbnRlbnRfVHlwZXNdLnhtbKySvU4DMQzH&#10;dyTeIcqK7tIyIIR67cDHCAzlAUzi60XkkihOS/v2+NJ2QeVAKkucD9v/n2PPFtveiQ0mssE3clpP&#10;pECvg7F+1ci35VN1KwVl8AZc8NjIHZJczC8vZstdRBIc7amRXc7xTinSHfZAdYjo+aUNqYfMx7RS&#10;EfQHrFBdTyY3Sgef0ecqDznkfPaALaxdFo9bvt6TJHQkxf3ecdBqJMTorIbMpGrjzTeV6qBQc2Tx&#10;oc5GumIMqU4qDC8/C4zEOdqOBJ4gC21rNZqg1z1XXVNMCIY6xNy7utgB8YW7kKxB8QopP0PPFSvt&#10;bHwPkIwyCT65J3TcTOtx/t8xDhmPPzQurzuGIlXMv0lz9SXh3xAyzxaqsp5PUNIcdVWZ5fkXAAAA&#10;//8DAFBLAwQUAAYACAAAACEArTA/8cEAAAAyAQAACwAAAF9yZWxzLy5yZWxzhI/NCsIwEITvgu8Q&#10;9m7TehCRpr2I4FX0AdZk2wbbJGTj39ubi6AgeJtl2G9m6vYxjeJGka13CqqiBEFOe2Ndr+B03C3W&#10;IDihMzh6RwqexNA281l9oBFTfuLBBhaZ4ljBkFLYSMl6oAm58IFcdjofJ0z5jL0MqC/Yk1yW5UrG&#10;TwY0X0yxNwri3lQgjs+Qk/+zfddZTVuvrxO59CNCmoj3vCwjMfaUFOjRhrPHaN4Wv0VV5OYgm1p+&#10;LW1eAAAA//8DAFBLAwQUAAYACAAAACEA+pAUf4MBAABEBAAAHwAAAGNsaXBib2FyZC9kcmF3aW5n&#10;cy9kcmF3aW5nMS54bWykU9FKwzAUfRf8h5B313ZuQ8q6PWxOBNGB+gGXNG2DTVqSrHZ/700XWa2K&#10;sr2E5Cb33HPPPZkvW1mShmsjKpXQaBRSwhWrUqHyhL6+bK5uKDEWVAplpXhC99zQ5eLyYg5xrqEu&#10;BCOIoEwMCS2sreMgMKzgEsyoqrnCu6zSEiwedR6kGt4RWZbBOAxngQSh6OIItQYLZKfFCVBlxd54&#10;ugLVgEHIksX9iOdYsvORIVbNna6f6612zNljs9VEpAlF5RRIlIgG/sI/w2MwyMqPAG2mpXtfZRlp&#10;O5S9WzsM3lrCMDiZXU+nIRZgeDeOZuObyL9gxdMPeay4/SMTCR0K46ZHxo90o7ERR8q12g25iww7&#10;nnx2vCpAWzLpNT5M6gM/4KjMQRRUb1jAS/ULgCPlsc4wC3N80SUs7nbeHaeY44DkAfR/3IVzFoyv&#10;K7aTXNnDP9C8BIsf0BSiNpTo2PlJ36eRU7SbUCeH67h/dmKcY5+vJjgqjjUG/6df9RuLDwAAAP//&#10;AwBQSwMEFAAGAAgAAAAhAGN5tbHSAAAAPwEAACYAAABjbGlwYm9hcmQvY2hhcnRzL19yZWxzL2No&#10;YXJ0MS54bWwucmVsc4SPwUoDMRRF94L/EN7eZOpCpEymmyp04UYqLktM3syEJnkhLy3TvzcuhBYE&#10;l5fLPYfbb5YYxBkLe0oaVrIDgcmS82nS8LF/fXgGwdUkZwIl1HBBhs1wf9e/YzC1jXj2mUWjJNYw&#10;15rXSrGdMRqWlDG1ZqQSTW2xTCobezQTqseue1LlmgHDDVPsnIaycysQ+0tu5v/ZNI7e4pbsKWKq&#10;fyh+7Q1pyoRVg5QK4xe6n7+s3rwtxDTWw8tiMRw+qRx5RqxyCbyAGnp1c3v4BgAA//8DAFBLAwQU&#10;AAYACAAAACEAZwPuhs4AAACsAQAAKgAAAGNsaXBib2FyZC9kcmF3aW5ncy9fcmVscy9kcmF3aW5n&#10;MS54bWwucmVsc6yQzWrDMAyA74O9g9F9VtLDGKNOL6XQ6+geQDjKD01sY6llffuZFsYChV56kZCE&#10;Pn1ovfmZJ3PmLGMMDmpbgeHgYzuG3sH3Yff2AUaUQktTDOzgwgKb5vVl/cUTaVmSYUxiCiWIg0E1&#10;fSKKH3gmsTFxKJMu5pm0lLnHRP5IPeOqqt4x/2dAs2Cafesg79sVmMMllcuP2bHrRs/b6E8zB71z&#10;ArV4cQFS7lkdWHvr3GJtiyvgfY36mRp+oKwLjWtH8Jr+PHDx4+YXAAD//wMAUEsDBBQABgAIAAAA&#10;IQDhUTcfzwYAAOYbAAAaAAAAY2xpcGJvYXJkL3RoZW1lL3RoZW1lMS54bWzsWc1v3EQUvyPxP4x8&#10;b7PfzUbdVNnNbgNt2ijZFvU4a8/a04w91sxs0r2h9oiEhCiIA5W4cUBApVbiUv6aQBEUqf8Cb2Zs&#10;ryfrkLSNoILmkLWff/O+35uvy1fuxQwdECEpT3pe/WLNQyTxeUCTsOfdGo8urHpIKpwEmPGE9Lw5&#10;kd6V9fffu4zXfEbTCcciGEckJggYJXIN97xIqXRtZUX6QMbyIk9JAt+mXMRYwasIVwKBD0FAzFYa&#10;tVpnJcY08daBo9KMhgz+JUpqgs/EnmZDUIJjkH5zOqU+Mdhgv64Rci4HTKADzHoe8Az44ZjcUx5i&#10;WCr40PNq5s9bWb+8gteyQUydMLY0bmT+snHZgGC/YWSKcFIIrY9a3UubBX8DYGoZNxwOB8N6wc8A&#10;sO+DpVaXMs/WaLXez3mWQPZxmfeg1q61XHyJf3NJ526/3293M10sUwOyj60l/Gqt09poOHgDsvj2&#10;Er7V3xgMOg7egCy+s4QfXep2Wi7egCJGk/0ltA7oaJRxLyBTzrYq4asAX61l8AUKsqHILi1iyhN1&#10;Uq7F+C4XIwBoIMOKJkjNUzLFPuTkAMcTQbEWgNcILn2xJF8ukbQsJH1BU9XzPkxx4pUgL599//LZ&#10;E3R0/+nR/Z+OHjw4uv+jZeSM2sJJWB714tvP/nz0MfrjyTcvHn5RjZdl/K8/fPLLz59XA6F8FuY9&#10;//Lxb08fP//q09+/e1gB3xB4UoaPaUwkukEO0S6PwTDjFVdzMhGvNmIcYVoesZGEEidYS6ngP1SR&#10;g74xxyyLjqNHn7gevC2gfVQBr87uOgrvRWKmaIXka1HsALc5Z30uKr1wTcsquXk8S8Jq4WJWxu1i&#10;fFAle4ATJ77DWQp9M09Lx/BBRBw1dxhOFA5JQhTS3/g+IRXW3aHU8es29QWXfKrQHYr6mFa6ZEwn&#10;TjYtBm3RGOIyr7IZ4u34Zvs26nNWZfUmOXCRUBWYVSg/Jsxx41U8UziuYjnGMSs7/DpWUZWSe3Ph&#10;l3FDqSDSIWEcDQMiZdWYmwLsLQX9GoaOVRn2bTaPXaRQdL+K53XMeRm5yfcHEY7TKuweTaIy9gO5&#10;DymK0Q5XVfBt7laIfoc44OTEcN+mxAn36d3gFg0dlRYJor/MhI4ltGqnA8c0+bt2zCj0Y5sD59eO&#10;oQE+//pRRWa9rY14A+akqkrYOtZ+T8Idb7oDLgL69vfcTTxLdgik+fLE867lvmu53n++5Z5Uz2dt&#10;tIveCm1XrxvsotgskeMTV8hTytiemjNyXZpFsoR5IhgBUY8zO0FS7JjSCB6zvu7gQoHNGCS4+oiq&#10;aC/CKSyw655mEsqMdShRyiVs7Ay5krfGwyJd2W1hW28YbD+QWG3zwJKbmpzvCwo2ZrYJzeYzF9TU&#10;DM4qrHkpYwpmv46wulbqzNLqRjXT6hxphckQw2XTgFh4ExYgCJYt4OUO7MW1aNiYYEYC7Xc79+Zh&#10;MVE4zxDJCAcki5G2ezlGdROkPFfMSQDkTkWM9CbvFK+VpHU12zeQdpYglcW1ThCXR+9NopRn8CJK&#10;um6PlSNLysXJEnTY87rtRttDPk573hT2tPAYpxB1qdd8mIVwGuQrYdP+1GI2Vb6IZjc3zC2COhxT&#10;WL8vGez0gVRItYllZFPDfMpSgCVaktW/0Qa3npcBNtNfQ4vmKiTDv6YF+NENLZlOia/KwS5RtO/s&#10;a9ZK+UwRsRcFh2jCZmIXQ/h1qoI9AZVwNGE6gn6BczTtbfPJbc5Z0ZVPrwzO0jFLI5y1W12ieSVb&#10;uKnjQgfzVlIPbKvU3Rj36qaYkj8nU8pp/D8zRc8ncFLQDHQEfDiUFRjpeu15XKiIQxdKI+qPBCwc&#10;TO+AbIGzWPgMSQUnyOZXkAP9a2vO8jBlDRs+tUtDJCjMRyoShOxAWzLZdwqzejZ3WZYsY2QyqqSu&#10;TK3aE3JA2Fj3wI6e2z0UQaqbbpK1AYM7nn/ue1ZBk1Avcsr15vSQYu61NfBPr3xsMYNRbh82C5rc&#10;/4WKFbOqHW+G53Nv2RD9YbHMauVVAcJKU0E3K/vXVOEVp1rbsZYsbrRz5SCKyxYDsVgQpXDeg/Q/&#10;mP+o8Jm9bdAT6pjvQm9FcNGgmUHaQFZfsAsPpBukJU5g4WSJNpk0K+vabOmkvZZP1ue80i3kHnO2&#10;1uws8X5FZxeLM1ecU4vn6ezMw46vLe1EV0Nkj5cokKb5RsYEpurWaRunaBLWex7c/ECg78ET3B15&#10;QGtoWkPT4AkuhGCxZG9xel72kFPgu6UUmGZOaeaYVk5p5ZR2ToHFWXZfklM60Kn0FQdcsekfD+W3&#10;GbCCy24/8qbqXM2t/wUAAP//AwBQSwMEFAAGAAgAAAAhALVRX4+uBwAASBcAABsAAABjbGlwYm9h&#10;cmQvY2hhcnRzL2NoYXJ0MS54bWzsWFuP27oRfi/Q/6AKeSpgW1dLMuI98HqzbdDNySK7SYG+0RJt&#10;s0uJOiS9a6fof+8MScmXeAOfoKc4DzWQrEQORzMfh9/M8O1P25p7z1QqJpqpHw4D36NNKSrWrKb+&#10;58fbQe57SpOmIlw0dOrvqPJ/uvrjH96Wk3JNpH5oSUk9UNKoSTn111q3k9FIlWtaEzUULW1gbilk&#10;TTS8ytWokuQFlNd8FAXBeGSU+E4B+QEFNWFNt15esl4sl6ykN6Lc1LTR1gpJOdGAgFqzVnXaynAs&#10;o2801qyUQomlHpaiHlllnVOgLExHvVdXAFJFNA2LIPGeCZ/6gT/CQU6alR2gzeDzgx2UYtNUtJoL&#10;2cB2HMjX5WTGNZUNqJqLRoPVDq/6IsRrIp827QDMbcHJBeNM74zb/tVb0D1fC8DD+0R/2TBJ1dQv&#10;w2QPQfJrAQiyUT6K3L6Cs2EyUXrHqXUoDCL0dtR/15hwSzhfkPIJsTkQ7kX387jwFAxcZcIIH8hG&#10;i0emOb2hnGpauc9aiFsu9ExSgoKc7MRG41NNmg3hd/27nXkkckW1Xc4a2BKrYvtBVM4XWq2oHdyd&#10;G9y6LRyG4yzKgiIYF1mcj9Nx7hbZ+XSYR1ka5VkWJEkUpln0bmAcLycvnYY8DONxkaRFFOV5Eoxj&#10;q2HdzY+TuCjCOB7HaZ7EWWrmR6eewcDe6QWRczy/CAA83zBplZWCW+UriMcWDqob5hsFIUgrO/lM&#10;5G4uuDiKU9g7KlEfqzrfrbSQFXXq3QFQ7T1IkokSnFW3jHPzIleLOXeCBfxub3H96ESMN94LMBVA&#10;GkIAn0yqQx2B+Z3T0Uqlb4hyABornBhv4IvgiTEQXGmAG/X75c90BWfn2e2886K6W3CFDnfuNAJ9&#10;AZvJBPWQST8ATtgRulzSUt8pjZ51K8uJ3lpAFqLa3UurQekHPDjmpUVtDrSKLj/dS2/h6ARUuwna&#10;VPdEEpxEhpn6RA4eZs4x0ADfs98BWgLT74VjGTgH7xq3s2otXu7oClT9je5cfKEGMBVmvhBIFkhk&#10;4X5sTvTPpD5GBmUfqDw7fk9liRRm9HTxAPLXm8WC0wf29VtVd5RABN2xhh7yYjmhW0QSjYMnbyPZ&#10;1P/X/N04jbNZOLgZ384HyXKcDoqbIhxkUZTMEzhE+fX1v/f8lv5afgsPuS01qJw3D9AGqwzqnZ0w&#10;1MdMSYzhSstPdIkuLK8e1pTq8E9vrt+Ekzfv3oS4YWYKhOYEUiqKtXoOicLBl9htaLUHZw7jASWe&#10;rzz4zVo43ZjhUMuzMaM1X+yE8fR0wn8VG0VfE4z2gl8gvMlrcnEn91GvqfzzsRgYsffCvhi/4dEh&#10;AfGABjWb+gwgEQISoUoDCAj1gNjiYg60fBUMAyNiyg0zciFgaTFMj+1FoC2oHU5xPoyQlfpf9tqK&#10;yPf2Rk39v1DIHoQ7dILhq+vi760LTy0ELPYw2JcOUQelDTtHNJaa+/D7nZ1zsL83bUXav7NKO3IO&#10;U8cRZPveZfMiL4JsnLg8ejxeuPwKCg9THMTYbIvhdSy916JKwiHboYiQDI6NqQctSdWs+UC2hkch&#10;iveClSkxjoiMbHtWXdizqbEYQbXafF+yco1cfjnR4/71FC9xrewJvi8fyURfPe5aOMP4hP9byXPi&#10;3oIoCs5CNW+gxRWeWHpIApjwPzcMSONIzwWZxToGsFs/95XGaXn1AxVUEgVFGiZBFuXwNwpc/dPl&#10;p2GexXGY5fAvhVIquaT+EZDXwcajzTubxrHYiNLEFRunCR38tavQ8W6n4Vje1vosB3hKbCD9QSp7&#10;olWfRmvyTyEfWfn0AUp1axLkZBs/EHyncw10Yl1wlU+HmZyLFzvRuWKLJQQG6Oc3rpWOaxhPCo0B&#10;hs0lPKyF/IqmQR30W9Y12JupmSs/kSc6PoA0g1NdAYFtwj+oFBYtfLOwu7qGL/iMrxo7VmpX+8Po&#10;x+VSdV1BGDhm0rBzsAsPT6w90oLjuKPfTDTiw4ZrdvfMYZldYlRBEPVEBRx+jrH2/hwQ0XcYC5sA&#10;B4ezF0P2Ug5zvUAf2ec4zG70AI4I/i7cb48AvNBqArQYE7akvZjpXAlJVtT7PRFVOAzDJE6LJCvi&#10;NMjyNOxbuY5ohlEMncs4LrIgKKCciMcYgbAlxywJA3sC/R9TFWzhMUm5KP+vkVQDdcmjO3n/5ylo&#10;po7rme/wlJm6pvqFUsdNC/tiaczsEGZvSylRt3GYQU6HIcJ6huk2oU9u2Kx2eQ97im8bWSQR03XC&#10;w+GtCj5/Yepjw13EO0KtmGqvoSl9UjPXwkGVZ63GSvQGeFB9hEwBddYJH3aXFK8aCZceELIlaaf+&#10;Em7x4LFuIbWqZuWfsMyBf69cAJBJzeCaw+Osnvp5f31AJmvoQKFH9jTUWFPfJGAEqIYLEY9TYDJ8&#10;MulNE8YvkYQC6+Su4Th/XpQr1Vdjpo+XAaHvQf8LUGw6A6HhYk/G3AfzBGIHld+P1gN4U9oYIJZw&#10;9Tv1Z5JBc+O1TJfrW1Izvpv6Mdwg4pUc5Mq+yKTkYNEcqu2FZBayUh3MXKYO0LM547A4vqBKtRib&#10;zhwvVPkN0cSTcGM19eX7yrZ6WA18bvHi9jgUgbb6NYazzaWjuQC/+g8AAAD//wMAUEsDBAoAAAAA&#10;AAAAIQDJhS3N/yMAAP8jAAAzAAAAY2xpcGJvYXJkL2VtYmVkZGluZ3MvTWljcm9zb2Z0X0V4Y2Vs&#10;X1dvcmtzaGVldC54bHN4UEsDBBQABgAIAAAAIQBBN4LPbgEAAAQFAAATAAgCW0NvbnRlbnRfVHlw&#10;ZXNdLnhtbCCiBAIooAAC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sVMluwjAQvVfqP0S+Vomhh6qqCBy6HFsk6AeYeJJYJLblGSj8fSdmUVWx&#10;CMElUWzPWybzPBit2iZZQkDjbC76WU8kYAunja1y8T39SJ9FgqSsVo2zkIs1oBgN7+8G07UHTLja&#10;Yi5qIv8iJRY1tAoz58HyTulCq4g/QyW9KuaqAvnY6z3JwlkCSyl1GGI4eINSLRpK3le8vFEyM1Yk&#10;r5tzHVUulPeNKRSxULm0+h9J6srSFKBdsWgZOkMfQGmsAahtMh8MM4YJELExFPIgZ4AGLyPdusq4&#10;MgrD2nh8YOtHGLqd4662dV/8O4LRkIxVoE/Vsne5auSPC/OZc/PsNMilrYktylpl7E73Cf54GGV8&#10;9W8spPMXgc/oIJ4xkPF5vYQIc4YQad0A3rrtEfQcc60C6Anx9FY3F/AX+5QOjtQ4OI+c2gCXd2EX&#10;ka469QwEgQzsQ3Jo2PaMHPmr2w7dnaJBH+CW8Q4b/gIAAP//AwBQSwMEFAAGAAgAAAAhALVVMCP0&#10;AAAATAIAAAsACAJfcmVscy8ucmVscyCiBAIooAAC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skk1PwzAMhu9I/IfI99XdkBBCS3dBSLshVH6A&#10;SdwPtY2jJBvdvyccEFQagwNHf71+/Mrb3TyN6sgh9uI0rIsSFDsjtnethpf6cXUHKiZylkZxrOHE&#10;EXbV9dX2mUdKeSh2vY8qq7iooUvJ3yNG0/FEsRDPLlcaCROlHIYWPZmBWsZNWd5i+K4B1UJT7a2G&#10;sLc3oOqTz5t/15am6Q0/iDlM7NKZFchzYmfZrnzIbCH1+RpVU2g5abBinnI6InlfZGzA80SbvxP9&#10;fC1OnMhSIjQS+DLPR8cloPV/WrQ08cudecQ3CcOryPDJgosfqN4BAAD//wMAUEsDBBQABgAIAAAA&#10;IQCBPpSX8wAAALoCAAAaAAgBeGwvX3JlbHMvd29ya2Jvb2sueG1sLnJlbHMgogQBKKAAA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sUk1LxDAQvQv+hzB3m3YVEdl0LyLsVesPCMm0KdsmITN+&#10;9N8bKrpdWNZLLwNvhnnvzcd29zUO4gMT9cErqIoSBHoTbO87BW/N880DCGLtrR6CRwUTEuzq66vt&#10;Cw6acxO5PpLILJ4UOOb4KCUZh6OmIkT0udKGNGrOMHUyanPQHcpNWd7LtOSA+oRT7K2CtLe3IJop&#10;ZuX/uUPb9gafgnkf0fMZCUk8DXkA0ejUISv4wUX2CPK8/GZNec5rwaP6DOUcq0seqjU9fIZ0IIfI&#10;Rx9/KZJz5aKZu1Xv4XRC+8opv9vyLMv072bkycfV3wAAAP//AwBQSwMEFAAGAAgAAAAhANg4Zwqa&#10;AQAA4QIAAA8AAAB4bC93b3JrYm9vay54bWyMkslu2zAQhu8F8g4E7zYlRXFTw3TQLagvRYBsZ5oc&#10;WYS5gaQiu0/fkQQlAXLJiZyF38w/w83NyRryAjFp7zgtlwUl4KRX2h04fXy4XVxTkrJwShjvgNMz&#10;JHqzvfiy6X087r0/EgS4xGmbc1gzlmQLVqSlD+Aw0vhoRUYzHlgKEYRKLUC2hlVFsWJWaEcnwjp+&#10;huGbRkv45WVnweUJEsGIjO2nVoc006z8DM6KeOzCQnobELHXRufzCKXEyvXu4HwUe4OyT+XVTMbr&#10;B7TVMvrkm7xEFJua/KC3LFhZTpK3m0YbeJrGTkQIf4UdqhhKjEj5t9IZFKcrNH0Pb46aktiFH502&#10;GC3ruioo276u4i4SnL48/nwvB/MoUdCIzuQH3M1cFf1VXVWrATDs8UlDn95Yg0lOz9op33O6KK/w&#10;Y5xfzfoazX4MPmuVW06/FcOEJtcf0Ic2c3r5FdMQz97xx/VjnfEkbpR9P3wJ7HL07VBZhTLXGi9x&#10;p8qRMD+TwshBJh5D4oj3Bu71PyARGk6/T/nz79z+BwAA//8DAFBLAwQUAAYACAAAACEAOEkHSOsA&#10;AACAAQAAFAAAAHhsL3NoYXJlZFN0cmluZ3MueG1sjJAxSwQxEIV7wf8wTCl4WQVFjmwOEcTORu3D&#10;7ngb2CRrZvbQUtHfIhZiYeNPyf4bcwdiu917vO8xj9GrR9/DhhK7GGo8WlQIFJrYurCu8fbm8vAM&#10;gcWG1vYxUI1PxLgy+3uaWaB0A9fYiQxLpbjpyFtexIFCSe5j8laKTWvFQyLbckckvlfHVXWqvHUB&#10;oYljkBpPEMbgHka6+PNGszNazPSWP/P79Jx/8gcU8Tq95K/8rZUYrbbIDtsuWfJgm7KwnGJKG0ID&#10;AHeu7+1cGK7iyDSbPh9sEk9B5jWupaN08M+q8kHzCwAA//8DAFBLAwQUAAYACAAAACEAO20yS8EA&#10;AABCAQAAIwAAAHhsL3dvcmtzaGVldHMvX3JlbHMvc2hlZXQxLnhtbC5yZWxzhI/BisIwFEX3A/5D&#10;eHuT1oUMQ1M3IrhV5wNi+toG25eQ9xT9e7McZcDl5XDP5Tab+zypG2YOkSzUugKF5GMXaLDwe9ot&#10;v0GxOOrcFAktPJBh0y6+mgNOTkqJx5BYFQuxhVEk/RjDfsTZsY4JqZA+5tlJiXkwyfmLG9Csqmpt&#10;8l8HtC9Ote8s5H1Xgzo9Uln+7I59Hzxuo7/OSPLPhEk5kGA+okg5yEXt8oBiQet39p5rfQ4Epm3M&#10;y/P2CQAA//8DAFBLAwQUAAYACAAAACEAg6/q440GAADjGwAAEwAAAHhsL3RoZW1lL3RoZW1lMS54&#10;bWzsWc1uGzcQvhfoOxB7TyzZkmMZkQNLluI2cWLYSoocqRW1y5i7XJCUHd2K5FigQNG06KVAbz0U&#10;bQMkQC/p07hN0aZAXqFDciWRFhXbiYH+xQZsiftxOJyfjzPcq9ceZAwdEiEpz5tR9XIlQiSP+YDm&#10;STO60+teWouQVDgfYMZz0ozGREbXNt5/7ypeVynJCIL5uVzHzShVqlhfWpIxDGN5mRckh2dDLjKs&#10;4KtIlgYCH4HcjC0tVyqrSxmmeYRynIHY28MhjQnqaZHRxkR4h8HXXEk9EDOxr0UTb4bBDg6qGiHH&#10;ss0EOsSsGcE6A37UIw9UhBiWCh40o4r5iZY2ri7h9XISUwvmOvO65qecV04YHCybNUXSny5a7dYa&#10;V7am8g2AqXlcp9Npd6pTeQaA4xh2anVxZda6a9XWRKYDsh/nZbcr9UrNxzvyV+Z0brRarXqj1MUK&#10;NSD7sTaHX6us1jaXPbwBWXx9Dl9rbbbbqx7egCx+dQ7fvdJYrfl4A0oZzQ/m0Nqh3W4pfQoZcrYd&#10;hK8BfK1SwmcoiIZpdOklhjxXi2Itw/e56AJAAxlWNEdqXJAhjiGK2zjrC4ojVOCcSxioLFe6lRX4&#10;q39r5lNNL4/XCXbm2aFYzg1pTZCMBS1UM/oQpEYO5NXz7189f4pePX9y/PDZ8cOfjh89On74o5Xl&#10;TdzGeeJOfPntZ39+/TH64+k3Lx9/EcZLF//rD5/88vPnYSDk12z/L7588tuzJy+++vT37x4H4JsC&#10;9114j2ZEolvkCO3xDPZmDONrTvrifDN6KabeDJyC7IDojko94K0xZiFci/jGuyuAWkLA66P7nq77&#10;qRgpGlj5Rpp5wB3OWYuLoAFu6LUcC/dGeRJeXIxc3B7Gh6G12zj3XNsZFcCpELLztm+nxFNzl+Fc&#10;4YTkRCH9jB8QEph2j1LPrjs0FlzyoUL3KGphGjRJj/a9QJpN2qYZ+GUcUhBc7dlm5y5qcRba9RY5&#10;9JGQEJgFlO8R5pnxOh4pnIVE9nDGXIPfxCoNKbk/FrGL60gFnk4I46gzIFKG5twWsF/H6TcwsFnQ&#10;7TtsnPlIoehBSOZNzLmL3OIH7RRnRVBnmqcu9gN5ACGK0S5XIfgO9zNEfwc/4Hyhu+9S4rn7dCK4&#10;QxNPpVmA6CcjEfDldcL9fByzISaGZYDwPR7PaP46UmcUWP0Eqdffkbo9lU6S+iYcgKHU2j5B5Ytw&#10;/0IC38KjfJdAzsyT6Dv+fsff0X+evxfl8sWz9oyogcNndbqp2rOFRfuQMravxozclKZul3A8Dbow&#10;aBoK01VOm7gihY9li+DhEoHNHCS4+oiqdD/FBZT4VdOCJrIUnUhUcAmVvxk2zTA5Idu0txQKe9Op&#10;1nUPY5lDYrXDB3Z4xe1Vp2JM55qYfniy0IoWcNbFVq683WJVq9VCs/lbqxrVDCl6W5tuGXw4vzUY&#10;nFoT6h4E1RJYeRWuDLTu0A1hRgba7raPn7hFL32hLpIpHpDSR3rf8z6qGidNYmUSRgEf6b7zFB85&#10;qzW02LdY7SxOcperLVhu4r238dKk2Z55SeftiXRkuZucLEdHzahRX65HKMZFMxpCmw0fswK8LnWp&#10;iVkCd1WxEjbsT01mE64zbzbCYVmFmxNr97kNezxQCKm2sExtaJhHZQiw3FwKGP2X62DWi9qAjfQ3&#10;0GJlDYLhb9MC7Oi7lgyHJFaus50RcytiACWV8pEiYj8dHKE+G4k9DO7XoQr7GVAJ9yGGEfQXuNrT&#10;1jaPfHIuk869UDM4O45ZkeKSbnWKTjLZwk0eT3Uw36y2Rj3YW1B3s7nzb8Wk/AVtxQ3j/9lW9HkC&#10;FxQrA+2BGG6WBUY6X5sRFyrlwEJFSuOugGs1wx0QLXA9DI8hqOB+2/wX5FD/tzlnZZi0hj5T7dEE&#10;CQrnkUoFIbtASyb6ThFWLc8uK5KVgkxEOerKwqrdJ4eE9TQHruqzPUIphLphk5IGDO5k/Pnfywzq&#10;J7rI+adWPjaZz1se6OrAllh2/hlrkZpD+s5R0AiefaammtLBaw72cx61lrHmdrxcP/NRW8A1E9wu&#10;K4iJmIqY2Zcl+kDt8T3gVgTvPmx5hSCqL9nCA2mCtPTYh8LJDtpg0qJswVJWtxdeRsENeVnpTteF&#10;LH2TSvecxp4WZ/5yXi6+vvo8n7FLC3u2divdgKkhaU+mqC6PJo2McYx5y+a+COP9++DoLXjlMGJK&#10;2pcJD+BSEboM+9ICkt8610zd+AsAAP//AwBQSwMEFAAGAAgAAAAhANnW3mXdAgAAaQcAAA0AAAB4&#10;bC9zdHlsZXMueG1spFXbjpswEH2v1H+w/M5yWaBJBKyaZJFWaleVdiv11QGTWOsLMmZLWvXfOwaS&#10;EG3bvfQl2GPP8Zw5M5PkqhMcPVLdMCVT7F94GFFZqJLJbYq/3ufODKPGEFkSriRN8Z42+Cp7/y5p&#10;zJ7Tux2lBgGEbFK8M6ZeuG5T7KggzYWqqYSTSmlBDGz11m1qTUnZWCfB3cDzYlcQJvGAsBDFS0AE&#10;0Q9t7RRK1MSwDePM7HssjESxuNlKpcmGQ6idH5ICdX6sg8MLvenJI4IVWjWqMhcA6qqqYgV9Guvc&#10;nbukOCEB7NuQ/Mj1goF4lshW5MI0qFCtNCAAPpjQcHJTgjEOMRryuFIlMPNAJjdL3NE5SyolTxiW&#10;raW+eJDqu8zt0QBsb2XJBjybH+iRcLD2OJIIOuxXhLONZj34cPtVPhURjO8HqGAC4vbxQZiM8yPV&#10;AKhaQ5aAjoZqmcMGjev7fQ08JZTcANPfe+b2VpO9H0QTB7d/ECgrXUKJT5M8mLKE08pAQjTb7uzX&#10;qBp+N8oYqIQsKRnZKkm4TfbBY1w0WVJQzu9sG3yrzrC7aiIeNJRlb3W0SyAyLge8YWPxp2gD9gQ2&#10;hGS9HhZ11RH/zDucvySqozsidc33t63YUJ33/WwLCoI+Ax3L9Dmur0Sdhur/NYHPgA4EbCuMgffZ&#10;hvxORDyT8CgGss2R4lvLmkNjjQlFm5Zxw+Qf5APMsjsVRN9hxk6kvlSOr0AxlLQiLTf3x8MUn9af&#10;aclaATqNt76wR2V6iBSf1p9s3fqx1YJ25lMD/Q1f1GqW4p/Xyw/z9XUeODNvOXPCSxo582i5dqJw&#10;tVyv87kXeKtfk9H4H4OxH+NQD364aDiMTz2SHYO/O9lSPNkM4fcdC2FPY58Hsfcx8j0nv/R8J4zJ&#10;zJnFl5GTR36wjsPldZRHk9ijN45iz/X9wyju/GhhmKCcyYNWB4WmVhAJtv8g4R6UcE//kdlvAAAA&#10;//8DAFBLAwQUAAYACAAAACEAQlIKussCAABbBwAAGAAAAHhsL3dvcmtzaGVldHMvc2hlZXQxLnht&#10;bKRVXW/bIBR9n7T/gHivsZ1vK07VNa1aaZOmZR/PBOMY1TYekKTdr98F7MhJti7V8hDAnHsu597L&#10;ZX79XJVox5UWsk5xFIQY8ZrJTNSbFH/7en81xUgbWme0lDVP8QvX+Hrx/t18L9WTLjg3CBhqneLC&#10;mCYhRLOCV1QHsuE17ORSVdTAUm2IbhSnmTOqShKH4ZhUVNTYMyTqEg6Z54LxpWTbitfGkyheUgPn&#10;14VodMdWsUvoKqqets0Vk1UDFGtRCvPiSDGqWPK4qaWi6xJ0P0dDyjputzijrwRTUsvcBEBH/EHP&#10;Nc/IjADTYp4JUGDDjhTPU3wTJQ/RFJPF3AXou+B73ZsjQ9crXnJmeAZ5wsjI5iPPzS0vyxR/gA82&#10;IWspn6zlI2BC8KGdhfVBmRE77tF3A8jpT+cVpuCRHFz25537e5fCzwplPKfb0nyR+wcuNoWBc8TB&#10;ZARRscFJspcl1wyyAr6D2PIyWQIJ/KNK2OqCoNJnN+5FZgp7RlSILON+k221kdUPvxW1BN40bk1h&#10;bE3jSTCahIMoBv+vGIJU5xPG1jAaB9PRaDie2pO/YjlsLWHsXMavWhIv18VySQ1dzJXcI6hq0K0b&#10;au9IlMB1+mO0IEwWemOxPr8p1pDB3SKckx2khbUIm2pAgB6Is0cMjhG354j4GLE8R0THiLtzxPCA&#10;IKDrIA4ycrG42AmKwmB2osmSpNhvj2bB6ERQf3swDeJZ/zc50eZZwuDk+13rvEd+pCM6yZIt7xjq&#10;+FAkh5r/e713+b4kJnA9Ori9jv+qjx4cCrIP/5+Dgri3eB6/DT55G9y+NBeEwTcrf8EauuGfqNqI&#10;WqMSuqHtPPZaK9+e/AI6pbtRa2mgvbhpAe8Qh+sWBgDOpTTdAsJsOVfcbBvU0IarlfgF7X+GkVQC&#10;ept7aFLcSGUUFQZcJQKarXrMXMMih2dx8RsAAP//AwBQSwMEFAAGAAgAAAAhAPELyWQfAQAA6AEA&#10;ABEACAFkb2NQcm9wcy9jb3JlLnhtbCCiBAEooAA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GyRX0/DIBTF3038Dg3vLaU1ZiFtl6jZk0tMrNH4RuCuIxZKAO367aVs1vnnEc7hd889VOuD6pMP&#10;sE4OukYky1ECmg9C6q5GT+0mXaHEeaYF6wcNNZrAoXVzeVFxQ/lg4cEOBqyX4JJA0o5yU6O994Zi&#10;7PgeFHNZcOgg7garmA9H22HD+BvrABd5fo0VeCaYZ3gGpmYhohNS8AVp3m0fAYJj6EGB9g6TjOBv&#10;rwer3L8PonLmVNJPJux0invOFvwoLu6Dk4txHMdsLGOMkJ/gl+39Y1w1lXruigNq5n565vw2VLmT&#10;IG6mJqnw38tK8BiLqpMxCZPoMdeX9Fze3rUb1BR5QdL8KiWkzVe0LGlJXiv8G9DEMT//pvkEAAD/&#10;/wMAUEsDBBQABgAIAAAAIQCCDIXxyQEAANwkAAAnAAAAeGwvcHJpbnRlclNldHRpbmdzL3ByaW50&#10;ZXJTZXR0aW5nczEuYmlu7Ja7TgJBFIb/YddF0cJQGENhiDExIZqAogmJiTewwBuxoiCxkAehsLKy&#10;MsSC+AQ+hL6GhQ/gO+A5e8EFdxVCvMX/kJk98+/OmTPf7M7QQAOnOMMu1sSroSy/cxzjQHyIVkYF&#10;G9jHKkpSl7ApXlG0AvbEA4xtmSdgyepeWgZTogBNGCRRTyTk6tWuPFZlInqrZklZjLqpedQuDvVW&#10;WarnJHDt5lecvJ3OIYd2upPRayfTTkdpgI1Eb1T17JgZBMMH18pbt74eV36AuPvjUtLx82IaZ8IP&#10;FrS1eZQF7nXRxGJS7Eth1Oe1s+MXpO5aTXkTokzH1lzD3HYko0E9snNIlOmErLWtDYMFV5txa09T&#10;N5hvXRwtal0xTULzGIZH33ChRl78lgSoSqAVKRr/RrQtKXP+c7oeL3gw4RIX77fqMZ/ZB+m6PezU&#10;F07I+Cun+0Cc2aMn/teWhvmSwNAEvL3O+yjefxrj7ITfuwh6vtcevfM9PzAR0ztdPs/pP+wPikd5&#10;zS57vOZDWFTPnni6nl+BrTsFp+pk5b8ejQRIgARIgARIgARIgARIgARIgARIgARIgARIgARIgARI&#10;gARIgAR+nsArAAAA//8DAFBLAwQUAAYACAAAACEAKQ/1xn0BAAD+AgAAEAAIAWRvY1Byb3BzL2Fw&#10;cC54bWwgogQBKKAA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ckstOwzAQRfdI/EPkPXUK&#10;CKHKMUI8xAJEpRZYG2fSWLh25Bmilq9nkoiSAit287i6Pr62utisfdZCQhdDIaaTXGQQbCxdWBXi&#10;aXl7dC4yJBNK42OAQmwBxYU+PFDzFBtI5AAztghYiJqomUmJtoa1wQmvA2+qmNaGuE0rGavKWbiO&#10;9n0NgeRxnp9J2BCEEsqjZmcoBsdZS/81LaPt+PB5uW0YWKvLpvHOGuJb6gdnU8RYUXazseCVHC8V&#10;0y3AvidHW50rOW7VwhoPV2ysK+MRlPweqDswXWhz4xJq1dKsBUsxZeg+OLZjkb0ahA6nEK1JzgRi&#10;rE42NH3tG6SkX2J6wxqAUEkWDMO+HGvHtTvV017Axb6wMxhAeLGPuHTkAR+ruUn0B/F0TNwzDLwD&#10;zqLjG84c8/VX5pN+eN+78IZPzTJeG4Kv7PaHalGbBCXHvct2N1B3HFvynclVbcIKyi/N70X30s/D&#10;d9bTs0l+kvMjjmZKfn9c/QkAAP//AwBQSwECLQAUAAYACAAAACEAQTeCz24BAAAEBQAAEwAAAAAA&#10;AAAAAAAAAAAAAAAAW0NvbnRlbnRfVHlwZXNdLnhtbFBLAQItABQABgAIAAAAIQC1VTAj9AAAAEwC&#10;AAALAAAAAAAAAAAAAAAAAKcDAABfcmVscy8ucmVsc1BLAQItABQABgAIAAAAIQCBPpSX8wAAALoC&#10;AAAaAAAAAAAAAAAAAAAAAMwGAAB4bC9fcmVscy93b3JrYm9vay54bWwucmVsc1BLAQItABQABgAI&#10;AAAAIQDYOGcKmgEAAOECAAAPAAAAAAAAAAAAAAAAAP8IAAB4bC93b3JrYm9vay54bWxQSwECLQAU&#10;AAYACAAAACEAOEkHSOsAAACAAQAAFAAAAAAAAAAAAAAAAADGCgAAeGwvc2hhcmVkU3RyaW5ncy54&#10;bWxQSwECLQAUAAYACAAAACEAO20yS8EAAABCAQAAIwAAAAAAAAAAAAAAAADjCwAAeGwvd29ya3No&#10;ZWV0cy9fcmVscy9zaGVldDEueG1sLnJlbHNQSwECLQAUAAYACAAAACEAg6/q440GAADjGwAAEwAA&#10;AAAAAAAAAAAAAADlDAAAeGwvdGhlbWUvdGhlbWUxLnhtbFBLAQItABQABgAIAAAAIQDZ1t5l3QIA&#10;AGkHAAANAAAAAAAAAAAAAAAAAKMTAAB4bC9zdHlsZXMueG1sUEsBAi0AFAAGAAgAAAAhAEJSCrrL&#10;AgAAWwcAABgAAAAAAAAAAAAAAAAAqxYAAHhsL3dvcmtzaGVldHMvc2hlZXQxLnhtbFBLAQItABQA&#10;BgAIAAAAIQDxC8lkHwEAAOgBAAARAAAAAAAAAAAAAAAAAKwZAABkb2NQcm9wcy9jb3JlLnhtbFBL&#10;AQItABQABgAIAAAAIQCCDIXxyQEAANwkAAAnAAAAAAAAAAAAAAAAAAIcAAB4bC9wcmludGVyU2V0&#10;dGluZ3MvcHJpbnRlclNldHRpbmdzMS5iaW5QSwECLQAUAAYACAAAACEAKQ/1xn0BAAD+AgAAEAAA&#10;AAAAAAAAAAAAAAAQHgAAZG9jUHJvcHMvYXBwLnhtbFBLBQYAAAAADAAMACYDAADDIAAAAABQSwEC&#10;LQAUAAYACAAAACEAJ3wiHykBAAAMAwAAEwAAAAAAAAAAAAAAAAAAAAAAW0NvbnRlbnRfVHlwZXNd&#10;LnhtbFBLAQItABQABgAIAAAAIQCtMD/xwQAAADIBAAALAAAAAAAAAAAAAAAAAFoBAABfcmVscy8u&#10;cmVsc1BLAQItABQABgAIAAAAIQD6kBR/gwEAAEQEAAAfAAAAAAAAAAAAAAAAAEQCAABjbGlwYm9h&#10;cmQvZHJhd2luZ3MvZHJhd2luZzEueG1sUEsBAi0AFAAGAAgAAAAhAGN5tbHSAAAAPwEAACYAAAAA&#10;AAAAAAAAAAAABAQAAGNsaXBib2FyZC9jaGFydHMvX3JlbHMvY2hhcnQxLnhtbC5yZWxzUEsBAi0A&#10;FAAGAAgAAAAhAGcD7obOAAAArAEAACoAAAAAAAAAAAAAAAAAGgUAAGNsaXBib2FyZC9kcmF3aW5n&#10;cy9fcmVscy9kcmF3aW5nMS54bWwucmVsc1BLAQItABQABgAIAAAAIQDhUTcfzwYAAOYbAAAaAAAA&#10;AAAAAAAAAAAAADAGAABjbGlwYm9hcmQvdGhlbWUvdGhlbWUxLnhtbFBLAQItABQABgAIAAAAIQC1&#10;UV+PrgcAAEgXAAAbAAAAAAAAAAAAAAAAADcNAABjbGlwYm9hcmQvY2hhcnRzL2NoYXJ0MS54bWxQ&#10;SwECLQAKAAAAAAAAACEAyYUtzf8jAAD/IwAAMwAAAAAAAAAAAAAAAAAeFQAAY2xpcGJvYXJkL2Vt&#10;YmVkZGluZ3MvTWljcm9zb2Z0X0V4Y2VsX1dvcmtzaGVldC54bHN4UEsFBgAAAAAIAAgAZQIAAG45&#10;AAAAAA==&#10;">
            <v:imagedata r:id="rId16" o:title="" croptop="-2438f" cropbottom="-4240f" cropleft="-1159f" cropright="-1020f"/>
            <o:lock v:ext="edit" aspectratio="f"/>
          </v:shape>
        </w:pict>
      </w:r>
    </w:p>
    <w:tbl>
      <w:tblPr>
        <w:bidiVisual/>
        <w:tblW w:w="7371" w:type="dxa"/>
        <w:jc w:val="center"/>
        <w:tblLook w:val="04A0" w:firstRow="1" w:lastRow="0" w:firstColumn="1" w:lastColumn="0" w:noHBand="0" w:noVBand="1"/>
      </w:tblPr>
      <w:tblGrid>
        <w:gridCol w:w="7371"/>
      </w:tblGrid>
      <w:tr w:rsidR="00AD70D8" w:rsidRPr="00AD70D8" w:rsidTr="00AA2087">
        <w:trPr>
          <w:trHeight w:val="312"/>
          <w:jc w:val="center"/>
        </w:trPr>
        <w:tc>
          <w:tcPr>
            <w:tcW w:w="7371" w:type="dxa"/>
            <w:vAlign w:val="center"/>
          </w:tcPr>
          <w:p w:rsidR="0041219D" w:rsidRPr="003C0C36" w:rsidRDefault="00AA2087" w:rsidP="003C0C36">
            <w:pPr>
              <w:rPr>
                <w:rFonts w:ascii="Arial" w:hAnsi="Arial" w:cs="Arial"/>
                <w:sz w:val="14"/>
                <w:szCs w:val="14"/>
              </w:rPr>
            </w:pPr>
            <w:r w:rsidRPr="003C0C36">
              <w:rPr>
                <w:sz w:val="14"/>
                <w:szCs w:val="14"/>
              </w:rPr>
              <w:t xml:space="preserve">  * Include</w:t>
            </w:r>
            <w:r w:rsidR="00A96FA2">
              <w:rPr>
                <w:sz w:val="14"/>
                <w:szCs w:val="14"/>
              </w:rPr>
              <w:t>s</w:t>
            </w:r>
            <w:r w:rsidRPr="003C0C36">
              <w:rPr>
                <w:sz w:val="14"/>
                <w:szCs w:val="14"/>
              </w:rPr>
              <w:t xml:space="preserve">: Independent Room, Tent and Marginal. </w:t>
            </w:r>
          </w:p>
        </w:tc>
      </w:tr>
    </w:tbl>
    <w:p w:rsidR="00AA2087" w:rsidRPr="00AD70D8" w:rsidRDefault="00AA2087" w:rsidP="0041219D">
      <w:pPr>
        <w:pStyle w:val="ListParagraph"/>
        <w:tabs>
          <w:tab w:val="left" w:pos="5867"/>
        </w:tabs>
        <w:ind w:left="0"/>
        <w:textAlignment w:val="auto"/>
        <w:rPr>
          <w:rFonts w:cs="Simplified Arabic"/>
          <w:sz w:val="6"/>
          <w:szCs w:val="6"/>
        </w:rPr>
      </w:pPr>
      <w:r w:rsidRPr="00AD70D8">
        <w:rPr>
          <w:rFonts w:cs="Simplified Arabic"/>
          <w:sz w:val="8"/>
          <w:szCs w:val="8"/>
          <w:rtl/>
        </w:rPr>
        <w:tab/>
      </w:r>
    </w:p>
    <w:p w:rsidR="00AA2087" w:rsidRPr="00AD70D8" w:rsidRDefault="00AA2087" w:rsidP="00AA2087">
      <w:pPr>
        <w:pStyle w:val="ListParagraph"/>
        <w:numPr>
          <w:ilvl w:val="0"/>
          <w:numId w:val="18"/>
        </w:numPr>
        <w:tabs>
          <w:tab w:val="left" w:pos="5867"/>
        </w:tabs>
        <w:textAlignment w:val="auto"/>
        <w:rPr>
          <w:rFonts w:cs="Simplified Arabic"/>
          <w:sz w:val="6"/>
          <w:szCs w:val="6"/>
        </w:rPr>
      </w:pPr>
      <w:r w:rsidRPr="00AD70D8">
        <w:rPr>
          <w:rFonts w:cs="Simplified Arabic"/>
          <w:sz w:val="8"/>
          <w:szCs w:val="8"/>
          <w:rtl/>
        </w:rPr>
        <w:tab/>
      </w:r>
    </w:p>
    <w:p w:rsidR="00E4320D" w:rsidRPr="005F3B94" w:rsidRDefault="00E4320D" w:rsidP="003E5811">
      <w:pPr>
        <w:pStyle w:val="BodyTextIndent"/>
        <w:numPr>
          <w:ilvl w:val="0"/>
          <w:numId w:val="21"/>
        </w:numPr>
        <w:tabs>
          <w:tab w:val="right" w:pos="378"/>
        </w:tabs>
        <w:bidi w:val="0"/>
        <w:ind w:left="210" w:hanging="210"/>
        <w:jc w:val="both"/>
        <w:rPr>
          <w:b/>
          <w:bCs/>
          <w:sz w:val="22"/>
          <w:szCs w:val="22"/>
        </w:rPr>
      </w:pPr>
      <w:r w:rsidRPr="005F3B94">
        <w:rPr>
          <w:b/>
          <w:bCs/>
          <w:sz w:val="22"/>
          <w:szCs w:val="22"/>
        </w:rPr>
        <w:t>Environment and Natural Resources</w:t>
      </w:r>
    </w:p>
    <w:p w:rsidR="00DA6575" w:rsidRPr="00AD70D8" w:rsidRDefault="00CE728D" w:rsidP="003E5811">
      <w:pPr>
        <w:ind w:right="720"/>
        <w:jc w:val="lowKashida"/>
        <w:rPr>
          <w:b/>
          <w:bCs/>
        </w:rPr>
      </w:pPr>
      <w:r>
        <w:rPr>
          <w:b/>
          <w:bCs/>
        </w:rPr>
        <w:t>11</w:t>
      </w:r>
      <w:r w:rsidR="005F3B94">
        <w:rPr>
          <w:b/>
          <w:bCs/>
        </w:rPr>
        <w:t>.1</w:t>
      </w:r>
      <w:r w:rsidR="00DA6575" w:rsidRPr="00AD70D8">
        <w:rPr>
          <w:b/>
          <w:bCs/>
        </w:rPr>
        <w:t xml:space="preserve"> Water </w:t>
      </w:r>
    </w:p>
    <w:p w:rsidR="00AD48C6" w:rsidRDefault="00AD48C6" w:rsidP="003E5811">
      <w:pPr>
        <w:pStyle w:val="BodyTextIndent"/>
        <w:numPr>
          <w:ilvl w:val="0"/>
          <w:numId w:val="6"/>
        </w:numPr>
        <w:tabs>
          <w:tab w:val="left" w:pos="284"/>
        </w:tabs>
        <w:bidi w:val="0"/>
        <w:ind w:left="284" w:right="0" w:hanging="284"/>
        <w:rPr>
          <w:rFonts w:cs="Times New Roman"/>
        </w:rPr>
      </w:pPr>
      <w:r w:rsidRPr="00AD48C6">
        <w:rPr>
          <w:rFonts w:cs="Times New Roman"/>
        </w:rPr>
        <w:t>96.2% of households in Jerusalem Governorate use Public water network for drinking water, 1.9% use bottled water during the year 2019.</w:t>
      </w:r>
    </w:p>
    <w:p w:rsidR="00700C73" w:rsidRDefault="006604E9" w:rsidP="006604E9">
      <w:pPr>
        <w:pStyle w:val="BodyTextIndent"/>
        <w:numPr>
          <w:ilvl w:val="0"/>
          <w:numId w:val="6"/>
        </w:numPr>
        <w:tabs>
          <w:tab w:val="left" w:pos="284"/>
        </w:tabs>
        <w:bidi w:val="0"/>
        <w:ind w:left="284" w:right="0" w:hanging="284"/>
        <w:rPr>
          <w:rFonts w:cs="Times New Roman"/>
        </w:rPr>
      </w:pPr>
      <w:r>
        <w:rPr>
          <w:rFonts w:cs="Times New Roman"/>
        </w:rPr>
        <w:t>85.4</w:t>
      </w:r>
      <w:r w:rsidR="00700C73" w:rsidRPr="00700C73">
        <w:rPr>
          <w:rFonts w:cs="Times New Roman"/>
        </w:rPr>
        <w:t xml:space="preserve">% </w:t>
      </w:r>
      <w:r w:rsidRPr="006604E9">
        <w:rPr>
          <w:rFonts w:cs="Times New Roman"/>
        </w:rPr>
        <w:t>of household m</w:t>
      </w:r>
      <w:bookmarkStart w:id="0" w:name="_GoBack"/>
      <w:bookmarkEnd w:id="0"/>
      <w:r w:rsidRPr="006604E9">
        <w:rPr>
          <w:rFonts w:cs="Times New Roman"/>
        </w:rPr>
        <w:t xml:space="preserve">embers </w:t>
      </w:r>
      <w:r w:rsidRPr="00700C73">
        <w:rPr>
          <w:rFonts w:cs="Times New Roman"/>
        </w:rPr>
        <w:t xml:space="preserve">in </w:t>
      </w:r>
      <w:r w:rsidRPr="00AD48C6">
        <w:rPr>
          <w:rFonts w:cs="Times New Roman"/>
        </w:rPr>
        <w:t xml:space="preserve">Jerusalem Governorate </w:t>
      </w:r>
      <w:r w:rsidRPr="006604E9">
        <w:rPr>
          <w:rFonts w:cs="Times New Roman"/>
        </w:rPr>
        <w:t xml:space="preserve">with an improved drinking water source located on premises, free of contamination and available when needed </w:t>
      </w:r>
      <w:r>
        <w:rPr>
          <w:rFonts w:cs="Times New Roman"/>
        </w:rPr>
        <w:t>in</w:t>
      </w:r>
      <w:r w:rsidR="00700C73" w:rsidRPr="00700C73">
        <w:rPr>
          <w:rFonts w:cs="Times New Roman"/>
        </w:rPr>
        <w:t xml:space="preserve"> 2019.</w:t>
      </w:r>
    </w:p>
    <w:p w:rsidR="00DA6575" w:rsidRPr="00AD70D8" w:rsidRDefault="00DA6575" w:rsidP="003E5811">
      <w:pPr>
        <w:pStyle w:val="BodyTextIndent"/>
        <w:numPr>
          <w:ilvl w:val="0"/>
          <w:numId w:val="6"/>
        </w:numPr>
        <w:tabs>
          <w:tab w:val="left" w:pos="284"/>
        </w:tabs>
        <w:bidi w:val="0"/>
        <w:ind w:left="284" w:right="0" w:hanging="284"/>
        <w:rPr>
          <w:rFonts w:cs="Times New Roman"/>
        </w:rPr>
      </w:pPr>
      <w:r w:rsidRPr="00AD70D8">
        <w:rPr>
          <w:rFonts w:cs="Times New Roman"/>
        </w:rPr>
        <w:t xml:space="preserve">The amount of rainfall in </w:t>
      </w:r>
      <w:r w:rsidRPr="00AD70D8">
        <w:rPr>
          <w:rFonts w:cs="Times New Roman" w:hint="cs"/>
          <w:rtl/>
        </w:rPr>
        <w:t>2020</w:t>
      </w:r>
      <w:r w:rsidRPr="00AD70D8">
        <w:rPr>
          <w:rFonts w:cs="Times New Roman"/>
        </w:rPr>
        <w:t xml:space="preserve"> was </w:t>
      </w:r>
      <w:r w:rsidRPr="00AD70D8">
        <w:rPr>
          <w:rFonts w:cs="Times New Roman" w:hint="cs"/>
          <w:rtl/>
        </w:rPr>
        <w:t>591</w:t>
      </w:r>
      <w:r w:rsidRPr="00AD70D8">
        <w:rPr>
          <w:rFonts w:cs="Times New Roman"/>
        </w:rPr>
        <w:t xml:space="preserve"> mm in </w:t>
      </w:r>
      <w:r w:rsidRPr="00AD70D8">
        <w:rPr>
          <w:rFonts w:eastAsia="Calibri"/>
          <w:sz w:val="22"/>
          <w:szCs w:val="22"/>
        </w:rPr>
        <w:t>Jerusalem station</w:t>
      </w:r>
      <w:r w:rsidRPr="00AD70D8">
        <w:rPr>
          <w:rFonts w:cs="Times New Roman"/>
        </w:rPr>
        <w:t xml:space="preserve">. While the mean average of rainfall in </w:t>
      </w:r>
      <w:r w:rsidRPr="00AD70D8">
        <w:rPr>
          <w:rFonts w:eastAsia="Calibri"/>
          <w:sz w:val="22"/>
          <w:szCs w:val="22"/>
        </w:rPr>
        <w:t>Jerusalem</w:t>
      </w:r>
      <w:r w:rsidRPr="00AD70D8">
        <w:rPr>
          <w:rFonts w:cs="Times New Roman"/>
        </w:rPr>
        <w:t xml:space="preserve"> station was 537 mm.</w:t>
      </w:r>
    </w:p>
    <w:p w:rsidR="007762E6" w:rsidRPr="00AD70D8" w:rsidRDefault="007762E6" w:rsidP="003E5811">
      <w:pPr>
        <w:pStyle w:val="BodyTextIndent"/>
        <w:tabs>
          <w:tab w:val="left" w:pos="284"/>
        </w:tabs>
        <w:bidi w:val="0"/>
        <w:ind w:firstLine="0"/>
        <w:jc w:val="left"/>
        <w:rPr>
          <w:rFonts w:cs="Times New Roman"/>
        </w:rPr>
      </w:pPr>
    </w:p>
    <w:p w:rsidR="00E4320D" w:rsidRPr="00AD70D8" w:rsidRDefault="00CE728D" w:rsidP="003E5811">
      <w:pPr>
        <w:pStyle w:val="BodyTextIndent"/>
        <w:tabs>
          <w:tab w:val="num" w:pos="0"/>
        </w:tabs>
        <w:bidi w:val="0"/>
        <w:ind w:firstLine="0"/>
        <w:jc w:val="both"/>
        <w:rPr>
          <w:b/>
          <w:bCs/>
          <w:sz w:val="16"/>
          <w:szCs w:val="16"/>
        </w:rPr>
      </w:pPr>
      <w:r>
        <w:rPr>
          <w:b/>
          <w:bCs/>
        </w:rPr>
        <w:t>11</w:t>
      </w:r>
      <w:r w:rsidR="005F3B94">
        <w:rPr>
          <w:b/>
          <w:bCs/>
        </w:rPr>
        <w:t>.2</w:t>
      </w:r>
      <w:r w:rsidR="00E4320D" w:rsidRPr="00AD70D8">
        <w:rPr>
          <w:b/>
          <w:bCs/>
        </w:rPr>
        <w:t xml:space="preserve">  Electricity </w:t>
      </w:r>
    </w:p>
    <w:p w:rsidR="00E4320D" w:rsidRPr="00AD70D8" w:rsidRDefault="008165A7" w:rsidP="003E5811">
      <w:pPr>
        <w:pStyle w:val="BodyTextIndent"/>
        <w:numPr>
          <w:ilvl w:val="0"/>
          <w:numId w:val="6"/>
        </w:numPr>
        <w:tabs>
          <w:tab w:val="left" w:pos="284"/>
        </w:tabs>
        <w:bidi w:val="0"/>
        <w:ind w:left="284" w:right="0" w:hanging="284"/>
        <w:rPr>
          <w:rFonts w:cs="Times New Roman"/>
        </w:rPr>
      </w:pPr>
      <w:r w:rsidRPr="00AD70D8">
        <w:rPr>
          <w:rFonts w:cs="Times New Roman"/>
        </w:rPr>
        <w:t xml:space="preserve">During the year </w:t>
      </w:r>
      <w:r w:rsidR="007A57CD" w:rsidRPr="00AD70D8">
        <w:rPr>
          <w:rFonts w:cs="Times New Roman"/>
        </w:rPr>
        <w:t>2017</w:t>
      </w:r>
      <w:r w:rsidRPr="00AD70D8">
        <w:rPr>
          <w:rFonts w:cs="Times New Roman"/>
        </w:rPr>
        <w:t xml:space="preserve">, the number of </w:t>
      </w:r>
      <w:r w:rsidR="00EA310A" w:rsidRPr="00AD70D8">
        <w:rPr>
          <w:rFonts w:cs="Times New Roman"/>
        </w:rPr>
        <w:t xml:space="preserve">housing units </w:t>
      </w:r>
      <w:r w:rsidRPr="00AD70D8">
        <w:rPr>
          <w:rFonts w:cs="Times New Roman"/>
        </w:rPr>
        <w:t xml:space="preserve">in Jerusalem Governorate </w:t>
      </w:r>
      <w:r w:rsidR="008C05AB" w:rsidRPr="00AD70D8">
        <w:rPr>
          <w:rFonts w:cs="Times New Roman"/>
        </w:rPr>
        <w:t>(</w:t>
      </w:r>
      <w:r w:rsidRPr="00AD70D8">
        <w:rPr>
          <w:rFonts w:cs="Times New Roman"/>
        </w:rPr>
        <w:t>J2</w:t>
      </w:r>
      <w:r w:rsidR="008C05AB" w:rsidRPr="00AD70D8">
        <w:rPr>
          <w:rFonts w:cs="Times New Roman"/>
        </w:rPr>
        <w:t>)</w:t>
      </w:r>
      <w:r w:rsidRPr="00AD70D8">
        <w:rPr>
          <w:rFonts w:cs="Times New Roman"/>
        </w:rPr>
        <w:t xml:space="preserve">, which </w:t>
      </w:r>
      <w:r w:rsidR="008C05AB" w:rsidRPr="00AD70D8">
        <w:rPr>
          <w:rFonts w:cs="Times New Roman"/>
        </w:rPr>
        <w:t xml:space="preserve">were </w:t>
      </w:r>
      <w:r w:rsidRPr="00AD70D8">
        <w:rPr>
          <w:rFonts w:cs="Times New Roman"/>
        </w:rPr>
        <w:t xml:space="preserve">supplied </w:t>
      </w:r>
      <w:r w:rsidR="008C05AB" w:rsidRPr="00AD70D8">
        <w:rPr>
          <w:rFonts w:cs="Times New Roman"/>
        </w:rPr>
        <w:t xml:space="preserve">with </w:t>
      </w:r>
      <w:r w:rsidRPr="00AD70D8">
        <w:rPr>
          <w:rFonts w:cs="Times New Roman"/>
        </w:rPr>
        <w:t xml:space="preserve">electricity through a public electricity network, was about </w:t>
      </w:r>
      <w:r w:rsidR="00FC2814" w:rsidRPr="00AD70D8">
        <w:rPr>
          <w:rFonts w:cs="Times New Roman"/>
        </w:rPr>
        <w:t>22,974</w:t>
      </w:r>
      <w:r w:rsidRPr="00AD70D8">
        <w:rPr>
          <w:rFonts w:cs="Times New Roman"/>
        </w:rPr>
        <w:t xml:space="preserve"> </w:t>
      </w:r>
      <w:r w:rsidR="008C05AB" w:rsidRPr="00AD70D8">
        <w:rPr>
          <w:rFonts w:cs="Times New Roman"/>
        </w:rPr>
        <w:t>housing units</w:t>
      </w:r>
      <w:r w:rsidRPr="00AD70D8">
        <w:rPr>
          <w:rFonts w:cs="Times New Roman"/>
        </w:rPr>
        <w:t xml:space="preserve">, 315 </w:t>
      </w:r>
      <w:r w:rsidR="008C05AB" w:rsidRPr="00AD70D8">
        <w:rPr>
          <w:rFonts w:cs="Times New Roman"/>
        </w:rPr>
        <w:t>housing units</w:t>
      </w:r>
      <w:r w:rsidRPr="00AD70D8">
        <w:rPr>
          <w:rFonts w:cs="Times New Roman"/>
        </w:rPr>
        <w:t xml:space="preserve"> through a special generator, 22 </w:t>
      </w:r>
      <w:r w:rsidR="008C05AB" w:rsidRPr="00AD70D8">
        <w:rPr>
          <w:rFonts w:cs="Times New Roman"/>
        </w:rPr>
        <w:t>housing units</w:t>
      </w:r>
      <w:r w:rsidRPr="00AD70D8">
        <w:rPr>
          <w:rFonts w:cs="Times New Roman"/>
        </w:rPr>
        <w:t xml:space="preserve"> without electricity, and </w:t>
      </w:r>
      <w:r w:rsidR="00FC2814" w:rsidRPr="00AD70D8">
        <w:rPr>
          <w:rFonts w:cs="Times New Roman"/>
        </w:rPr>
        <w:t>9,031</w:t>
      </w:r>
      <w:r w:rsidRPr="00AD70D8">
        <w:rPr>
          <w:rFonts w:cs="Times New Roman"/>
        </w:rPr>
        <w:t xml:space="preserve"> </w:t>
      </w:r>
      <w:r w:rsidR="008C05AB" w:rsidRPr="00AD70D8">
        <w:rPr>
          <w:rFonts w:cs="Times New Roman"/>
        </w:rPr>
        <w:t>housing units</w:t>
      </w:r>
      <w:r w:rsidRPr="00AD70D8">
        <w:rPr>
          <w:rFonts w:cs="Times New Roman"/>
        </w:rPr>
        <w:t xml:space="preserve"> </w:t>
      </w:r>
      <w:r w:rsidR="009942EB" w:rsidRPr="00AD70D8">
        <w:rPr>
          <w:rFonts w:cs="Times New Roman"/>
        </w:rPr>
        <w:t>with non-stated source of e</w:t>
      </w:r>
      <w:r w:rsidR="007E799E" w:rsidRPr="00AD70D8">
        <w:rPr>
          <w:rFonts w:cs="Times New Roman"/>
        </w:rPr>
        <w:t>lectricity</w:t>
      </w:r>
      <w:r w:rsidRPr="00AD70D8">
        <w:rPr>
          <w:rFonts w:cs="Times New Roman"/>
        </w:rPr>
        <w:t>.</w:t>
      </w:r>
    </w:p>
    <w:p w:rsidR="007A57CD" w:rsidRPr="00AD70D8" w:rsidRDefault="007A57CD" w:rsidP="003E5811">
      <w:pPr>
        <w:jc w:val="lowKashida"/>
        <w:rPr>
          <w:b/>
          <w:bCs/>
        </w:rPr>
      </w:pPr>
    </w:p>
    <w:p w:rsidR="00DF37A9" w:rsidRPr="00AD70D8" w:rsidRDefault="005F3B94" w:rsidP="003E5811">
      <w:pPr>
        <w:jc w:val="lowKashida"/>
        <w:rPr>
          <w:b/>
          <w:bCs/>
        </w:rPr>
      </w:pPr>
      <w:r>
        <w:rPr>
          <w:b/>
          <w:bCs/>
        </w:rPr>
        <w:t>1</w:t>
      </w:r>
      <w:r w:rsidR="009A1FBA">
        <w:rPr>
          <w:b/>
          <w:bCs/>
        </w:rPr>
        <w:t>1</w:t>
      </w:r>
      <w:r>
        <w:rPr>
          <w:b/>
          <w:bCs/>
        </w:rPr>
        <w:t>.3</w:t>
      </w:r>
      <w:r w:rsidR="00DF37A9" w:rsidRPr="00AD70D8">
        <w:rPr>
          <w:b/>
          <w:bCs/>
        </w:rPr>
        <w:t xml:space="preserve">   Solid Waste </w:t>
      </w:r>
    </w:p>
    <w:p w:rsidR="00BE60BF" w:rsidRPr="00AD70D8" w:rsidRDefault="007762E6" w:rsidP="003E5811">
      <w:pPr>
        <w:pStyle w:val="BodyText2"/>
        <w:numPr>
          <w:ilvl w:val="0"/>
          <w:numId w:val="2"/>
        </w:numPr>
        <w:tabs>
          <w:tab w:val="num" w:pos="284"/>
        </w:tabs>
        <w:bidi w:val="0"/>
        <w:ind w:left="284" w:right="0" w:hanging="284"/>
        <w:rPr>
          <w:rFonts w:cs="Times New Roman"/>
        </w:rPr>
      </w:pPr>
      <w:r w:rsidRPr="00AD70D8">
        <w:rPr>
          <w:rFonts w:cs="Times New Roman"/>
        </w:rPr>
        <w:t xml:space="preserve">21,721 </w:t>
      </w:r>
      <w:r w:rsidR="00EA310A" w:rsidRPr="00AD70D8">
        <w:rPr>
          <w:rFonts w:cs="Times New Roman"/>
        </w:rPr>
        <w:t xml:space="preserve">housing units </w:t>
      </w:r>
      <w:r w:rsidRPr="00AD70D8">
        <w:rPr>
          <w:rFonts w:cs="Times New Roman"/>
        </w:rPr>
        <w:t>in Jerusalem Governorate</w:t>
      </w:r>
      <w:r w:rsidR="00816E64" w:rsidRPr="00AD70D8">
        <w:rPr>
          <w:rFonts w:cs="Times New Roman"/>
        </w:rPr>
        <w:t xml:space="preserve"> (J2)</w:t>
      </w:r>
      <w:r w:rsidRPr="00AD70D8">
        <w:rPr>
          <w:rFonts w:cs="Times New Roman"/>
        </w:rPr>
        <w:t xml:space="preserve"> during the year </w:t>
      </w:r>
      <w:r w:rsidR="007A57CD" w:rsidRPr="00AD70D8">
        <w:rPr>
          <w:rFonts w:cs="Times New Roman"/>
        </w:rPr>
        <w:t>2017</w:t>
      </w:r>
      <w:r w:rsidRPr="00AD70D8">
        <w:rPr>
          <w:rFonts w:cs="Times New Roman"/>
        </w:rPr>
        <w:t xml:space="preserve"> disposed of </w:t>
      </w:r>
      <w:r w:rsidR="00715308" w:rsidRPr="00AD70D8">
        <w:rPr>
          <w:rFonts w:cs="Times New Roman"/>
        </w:rPr>
        <w:t xml:space="preserve">solid waste </w:t>
      </w:r>
      <w:r w:rsidRPr="00AD70D8">
        <w:rPr>
          <w:rFonts w:cs="Times New Roman"/>
        </w:rPr>
        <w:t xml:space="preserve">by </w:t>
      </w:r>
      <w:r w:rsidR="004C4332" w:rsidRPr="00AD70D8">
        <w:rPr>
          <w:rFonts w:cs="Times New Roman"/>
        </w:rPr>
        <w:t xml:space="preserve">throwing </w:t>
      </w:r>
      <w:r w:rsidR="00F27B33" w:rsidRPr="00AD70D8">
        <w:rPr>
          <w:rFonts w:cs="Times New Roman"/>
        </w:rPr>
        <w:t xml:space="preserve">it in the </w:t>
      </w:r>
      <w:r w:rsidR="004C4332" w:rsidRPr="00AD70D8">
        <w:rPr>
          <w:rFonts w:cs="Times New Roman"/>
        </w:rPr>
        <w:t>nearest container</w:t>
      </w:r>
      <w:r w:rsidRPr="00AD70D8">
        <w:rPr>
          <w:rFonts w:cs="Times New Roman"/>
        </w:rPr>
        <w:t xml:space="preserve">, </w:t>
      </w:r>
      <w:r w:rsidR="00FC2814" w:rsidRPr="00AD70D8">
        <w:rPr>
          <w:rFonts w:cs="Times New Roman"/>
        </w:rPr>
        <w:t>1,488</w:t>
      </w:r>
      <w:r w:rsidRPr="00AD70D8">
        <w:rPr>
          <w:rFonts w:cs="Times New Roman"/>
        </w:rPr>
        <w:t xml:space="preserve"> </w:t>
      </w:r>
      <w:r w:rsidR="00715308" w:rsidRPr="00AD70D8">
        <w:rPr>
          <w:rFonts w:cs="Times New Roman"/>
        </w:rPr>
        <w:t xml:space="preserve">housing units </w:t>
      </w:r>
      <w:r w:rsidRPr="00AD70D8">
        <w:rPr>
          <w:rFonts w:cs="Times New Roman"/>
        </w:rPr>
        <w:t xml:space="preserve">disposed of solid waste by burning, and </w:t>
      </w:r>
      <w:r w:rsidR="00FC2814" w:rsidRPr="00AD70D8">
        <w:rPr>
          <w:rFonts w:cs="Times New Roman"/>
        </w:rPr>
        <w:t>87</w:t>
      </w:r>
      <w:r w:rsidRPr="00AD70D8">
        <w:rPr>
          <w:rFonts w:cs="Times New Roman"/>
        </w:rPr>
        <w:t xml:space="preserve"> </w:t>
      </w:r>
      <w:r w:rsidR="00CE7CFB" w:rsidRPr="00AD70D8">
        <w:rPr>
          <w:rFonts w:cs="Times New Roman"/>
        </w:rPr>
        <w:t xml:space="preserve">housing units </w:t>
      </w:r>
      <w:r w:rsidRPr="00AD70D8">
        <w:rPr>
          <w:rFonts w:cs="Times New Roman"/>
        </w:rPr>
        <w:t>by throwing them randomly.</w:t>
      </w:r>
    </w:p>
    <w:p w:rsidR="00CE728D" w:rsidRDefault="00CE728D" w:rsidP="003E5811">
      <w:pPr>
        <w:jc w:val="lowKashida"/>
        <w:rPr>
          <w:b/>
          <w:bCs/>
        </w:rPr>
      </w:pPr>
    </w:p>
    <w:p w:rsidR="005A6657" w:rsidRPr="00AD70D8" w:rsidRDefault="005A6657" w:rsidP="006604E9">
      <w:pPr>
        <w:jc w:val="lowKashida"/>
        <w:rPr>
          <w:b/>
          <w:bCs/>
        </w:rPr>
      </w:pPr>
      <w:r>
        <w:rPr>
          <w:b/>
          <w:bCs/>
        </w:rPr>
        <w:t>11.4</w:t>
      </w:r>
      <w:r w:rsidRPr="00AD70D8">
        <w:rPr>
          <w:b/>
          <w:bCs/>
        </w:rPr>
        <w:t xml:space="preserve">   </w:t>
      </w:r>
      <w:r w:rsidR="006604E9">
        <w:rPr>
          <w:b/>
          <w:bCs/>
        </w:rPr>
        <w:t>S</w:t>
      </w:r>
      <w:r w:rsidR="006604E9" w:rsidRPr="006604E9">
        <w:rPr>
          <w:b/>
          <w:bCs/>
        </w:rPr>
        <w:t>anitation</w:t>
      </w:r>
    </w:p>
    <w:p w:rsidR="00441543" w:rsidRDefault="005A6657" w:rsidP="006604E9">
      <w:pPr>
        <w:pStyle w:val="BodyTextIndent"/>
        <w:numPr>
          <w:ilvl w:val="0"/>
          <w:numId w:val="6"/>
        </w:numPr>
        <w:tabs>
          <w:tab w:val="left" w:pos="284"/>
        </w:tabs>
        <w:bidi w:val="0"/>
        <w:ind w:left="284" w:right="0" w:hanging="284"/>
        <w:rPr>
          <w:rFonts w:cs="Times New Roman"/>
        </w:rPr>
      </w:pPr>
      <w:r w:rsidRPr="005A6657">
        <w:rPr>
          <w:rFonts w:cs="Times New Roman"/>
        </w:rPr>
        <w:t>98.7</w:t>
      </w:r>
      <w:r>
        <w:rPr>
          <w:rFonts w:cs="Times New Roman"/>
        </w:rPr>
        <w:t>%</w:t>
      </w:r>
      <w:r w:rsidRPr="005A6657">
        <w:rPr>
          <w:rFonts w:cs="Times New Roman"/>
        </w:rPr>
        <w:t xml:space="preserve"> of households in Jerusalem Governorate using improved sanitation </w:t>
      </w:r>
      <w:r w:rsidR="006604E9">
        <w:rPr>
          <w:rFonts w:cs="Times New Roman"/>
        </w:rPr>
        <w:t>in</w:t>
      </w:r>
      <w:r w:rsidRPr="00700C73">
        <w:rPr>
          <w:rFonts w:cs="Times New Roman"/>
        </w:rPr>
        <w:t xml:space="preserve"> 2019.</w:t>
      </w:r>
    </w:p>
    <w:p w:rsidR="005A6657" w:rsidRDefault="005A6657" w:rsidP="005A6657">
      <w:pPr>
        <w:pStyle w:val="BodyText2"/>
        <w:bidi w:val="0"/>
        <w:rPr>
          <w:rFonts w:cs="Times New Roman"/>
        </w:rPr>
      </w:pPr>
    </w:p>
    <w:p w:rsidR="005A6657" w:rsidRDefault="005A6657" w:rsidP="005A6657">
      <w:pPr>
        <w:pStyle w:val="BodyText2"/>
        <w:bidi w:val="0"/>
        <w:rPr>
          <w:rFonts w:cs="Times New Roman"/>
        </w:rPr>
      </w:pPr>
    </w:p>
    <w:p w:rsidR="005A6657" w:rsidRPr="005A6657" w:rsidRDefault="005A6657" w:rsidP="005A6657">
      <w:pPr>
        <w:pStyle w:val="BodyText2"/>
        <w:bidi w:val="0"/>
        <w:rPr>
          <w:rFonts w:cs="Times New Roman"/>
        </w:rPr>
      </w:pPr>
    </w:p>
    <w:p w:rsidR="00692685" w:rsidRPr="00AD70D8" w:rsidRDefault="00692685" w:rsidP="00796931">
      <w:pPr>
        <w:tabs>
          <w:tab w:val="num" w:pos="0"/>
          <w:tab w:val="left" w:pos="426"/>
        </w:tabs>
        <w:jc w:val="lowKashida"/>
        <w:rPr>
          <w:rFonts w:cs="Simplified Arabic"/>
          <w:b/>
          <w:bCs/>
          <w:sz w:val="8"/>
          <w:szCs w:val="8"/>
        </w:rPr>
      </w:pPr>
    </w:p>
    <w:p w:rsidR="00A235DF" w:rsidRPr="005F3B94" w:rsidRDefault="00A235DF"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Establishments</w:t>
      </w:r>
    </w:p>
    <w:p w:rsidR="00A235DF" w:rsidRPr="00AD70D8" w:rsidRDefault="00834970" w:rsidP="00AC3DB0">
      <w:pPr>
        <w:pStyle w:val="BodyText2"/>
        <w:numPr>
          <w:ilvl w:val="0"/>
          <w:numId w:val="7"/>
        </w:numPr>
        <w:tabs>
          <w:tab w:val="num" w:pos="284"/>
        </w:tabs>
        <w:bidi w:val="0"/>
        <w:spacing w:before="80"/>
        <w:ind w:left="284" w:right="0" w:hanging="284"/>
        <w:rPr>
          <w:rFonts w:cs="Times New Roman"/>
        </w:rPr>
      </w:pPr>
      <w:r w:rsidRPr="00AD70D8">
        <w:rPr>
          <w:rFonts w:cs="Times New Roman"/>
        </w:rPr>
        <w:t xml:space="preserve">In </w:t>
      </w:r>
      <w:r w:rsidR="00F02EFD" w:rsidRPr="00AD70D8">
        <w:rPr>
          <w:rFonts w:cs="Times New Roman"/>
        </w:rPr>
        <w:t>2017</w:t>
      </w:r>
      <w:r w:rsidRPr="00AD70D8">
        <w:rPr>
          <w:rFonts w:cs="Times New Roman"/>
        </w:rPr>
        <w:t xml:space="preserve">, there were </w:t>
      </w:r>
      <w:r w:rsidR="00FC2814" w:rsidRPr="00AD70D8">
        <w:rPr>
          <w:rFonts w:cs="Times New Roman"/>
        </w:rPr>
        <w:t>9,704</w:t>
      </w:r>
      <w:r w:rsidRPr="00AD70D8">
        <w:rPr>
          <w:rFonts w:cs="Times New Roman"/>
        </w:rPr>
        <w:t xml:space="preserve"> establishments operating in the private sector, </w:t>
      </w:r>
      <w:r w:rsidR="004109C8" w:rsidRPr="00AD70D8">
        <w:rPr>
          <w:rFonts w:cs="Times New Roman"/>
        </w:rPr>
        <w:t xml:space="preserve">                   </w:t>
      </w:r>
      <w:r w:rsidR="00C17752" w:rsidRPr="00AD70D8">
        <w:rPr>
          <w:rFonts w:cs="Times New Roman"/>
        </w:rPr>
        <w:t>non-governmental organizations and government</w:t>
      </w:r>
      <w:r w:rsidR="00C17752" w:rsidRPr="00AD70D8">
        <w:rPr>
          <w:rFonts w:cs="Times New Roman"/>
          <w:rtl/>
        </w:rPr>
        <w:t xml:space="preserve"> </w:t>
      </w:r>
      <w:r w:rsidR="00C17752" w:rsidRPr="00AD70D8">
        <w:rPr>
          <w:rFonts w:cs="Times New Roman"/>
        </w:rPr>
        <w:t xml:space="preserve">companies in Jerusalem </w:t>
      </w:r>
      <w:r w:rsidR="00000F4F" w:rsidRPr="00AD70D8">
        <w:t>Governorate</w:t>
      </w:r>
      <w:r w:rsidRPr="00AD70D8">
        <w:rPr>
          <w:rFonts w:cs="Times New Roman"/>
        </w:rPr>
        <w:t xml:space="preserve">. </w:t>
      </w:r>
      <w:r w:rsidR="00000F4F" w:rsidRPr="00AD70D8">
        <w:t>Those</w:t>
      </w:r>
      <w:r w:rsidRPr="00AD70D8">
        <w:rPr>
          <w:rFonts w:cs="Times New Roman"/>
        </w:rPr>
        <w:t xml:space="preserve"> establishments employed </w:t>
      </w:r>
      <w:r w:rsidR="00FC2814" w:rsidRPr="00AD70D8">
        <w:rPr>
          <w:rFonts w:cs="Times New Roman"/>
        </w:rPr>
        <w:t>34,786</w:t>
      </w:r>
      <w:r w:rsidRPr="00AD70D8">
        <w:rPr>
          <w:rFonts w:cs="Times New Roman"/>
        </w:rPr>
        <w:t xml:space="preserve"> </w:t>
      </w:r>
      <w:r w:rsidR="00AC3DB0" w:rsidRPr="00AD70D8">
        <w:rPr>
          <w:rFonts w:cs="Times New Roman"/>
        </w:rPr>
        <w:t>employed persons</w:t>
      </w:r>
      <w:r w:rsidRPr="00AD70D8">
        <w:rPr>
          <w:rFonts w:cs="Times New Roman"/>
        </w:rPr>
        <w:t>, of wh</w:t>
      </w:r>
      <w:r w:rsidR="00FB7CB6" w:rsidRPr="00AD70D8">
        <w:rPr>
          <w:rFonts w:cs="Times New Roman"/>
        </w:rPr>
        <w:t>om</w:t>
      </w:r>
      <w:r w:rsidRPr="00AD70D8">
        <w:rPr>
          <w:rFonts w:cs="Times New Roman"/>
        </w:rPr>
        <w:t xml:space="preserve"> </w:t>
      </w:r>
      <w:r w:rsidR="00FC2814" w:rsidRPr="00AD70D8">
        <w:rPr>
          <w:rFonts w:cs="Times New Roman"/>
        </w:rPr>
        <w:t>15,604</w:t>
      </w:r>
      <w:r w:rsidRPr="00AD70D8">
        <w:rPr>
          <w:rFonts w:cs="Times New Roman"/>
        </w:rPr>
        <w:t xml:space="preserve"> were in </w:t>
      </w:r>
      <w:r w:rsidR="00CB362F" w:rsidRPr="00AD70D8">
        <w:rPr>
          <w:rFonts w:cs="Times New Roman"/>
        </w:rPr>
        <w:t>Jerusalem (</w:t>
      </w:r>
      <w:r w:rsidRPr="00AD70D8">
        <w:rPr>
          <w:rFonts w:cs="Times New Roman"/>
        </w:rPr>
        <w:t>J2</w:t>
      </w:r>
      <w:r w:rsidR="00CB362F" w:rsidRPr="00AD70D8">
        <w:rPr>
          <w:rFonts w:cs="Times New Roman"/>
        </w:rPr>
        <w:t>)</w:t>
      </w:r>
      <w:r w:rsidRPr="00AD70D8">
        <w:rPr>
          <w:rFonts w:cs="Times New Roman"/>
        </w:rPr>
        <w:t xml:space="preserve"> and </w:t>
      </w:r>
      <w:r w:rsidR="00F02EFD" w:rsidRPr="00AD70D8">
        <w:rPr>
          <w:rFonts w:cs="Times New Roman"/>
        </w:rPr>
        <w:t>19</w:t>
      </w:r>
      <w:r w:rsidRPr="00AD70D8">
        <w:rPr>
          <w:rFonts w:cs="Times New Roman"/>
        </w:rPr>
        <w:t>,</w:t>
      </w:r>
      <w:r w:rsidR="00F02EFD" w:rsidRPr="00AD70D8">
        <w:rPr>
          <w:rFonts w:cs="Times New Roman"/>
        </w:rPr>
        <w:t>182</w:t>
      </w:r>
      <w:r w:rsidRPr="00AD70D8">
        <w:rPr>
          <w:rFonts w:cs="Times New Roman"/>
        </w:rPr>
        <w:t xml:space="preserve"> in </w:t>
      </w:r>
      <w:r w:rsidR="00CB362F" w:rsidRPr="00AD70D8">
        <w:rPr>
          <w:rFonts w:cs="Times New Roman"/>
        </w:rPr>
        <w:t>Jerusalem (</w:t>
      </w:r>
      <w:r w:rsidRPr="00AD70D8">
        <w:rPr>
          <w:rFonts w:cs="Times New Roman"/>
        </w:rPr>
        <w:t>J1</w:t>
      </w:r>
      <w:r w:rsidR="00CB362F" w:rsidRPr="00AD70D8">
        <w:rPr>
          <w:rFonts w:cs="Times New Roman"/>
        </w:rPr>
        <w:t>)</w:t>
      </w:r>
      <w:r w:rsidR="00A235DF" w:rsidRPr="00AD70D8">
        <w:rPr>
          <w:rFonts w:cs="Times New Roman"/>
        </w:rPr>
        <w:t>.</w:t>
      </w:r>
    </w:p>
    <w:p w:rsidR="00834970" w:rsidRPr="00AD70D8" w:rsidRDefault="00E63140" w:rsidP="00AC3DB0">
      <w:pPr>
        <w:pStyle w:val="BodyText2"/>
        <w:numPr>
          <w:ilvl w:val="0"/>
          <w:numId w:val="7"/>
        </w:numPr>
        <w:tabs>
          <w:tab w:val="num" w:pos="284"/>
        </w:tabs>
        <w:bidi w:val="0"/>
        <w:spacing w:before="80"/>
        <w:ind w:left="284" w:right="0" w:hanging="284"/>
        <w:rPr>
          <w:rFonts w:cs="Times New Roman"/>
        </w:rPr>
      </w:pPr>
      <w:r w:rsidRPr="00AD70D8">
        <w:rPr>
          <w:rFonts w:cs="Times New Roman"/>
        </w:rPr>
        <w:t>In 2017,</w:t>
      </w:r>
      <w:r w:rsidR="004109C8" w:rsidRPr="00AD70D8">
        <w:rPr>
          <w:rFonts w:cs="Times New Roman"/>
        </w:rPr>
        <w:t xml:space="preserve"> t</w:t>
      </w:r>
      <w:r w:rsidR="00834970" w:rsidRPr="00AD70D8">
        <w:rPr>
          <w:rFonts w:cs="Times New Roman"/>
        </w:rPr>
        <w:t xml:space="preserve">here were </w:t>
      </w:r>
      <w:r w:rsidR="00FC2814" w:rsidRPr="00AD70D8">
        <w:rPr>
          <w:rFonts w:cs="Times New Roman"/>
        </w:rPr>
        <w:t>10,227</w:t>
      </w:r>
      <w:r w:rsidR="00834970" w:rsidRPr="00AD70D8">
        <w:rPr>
          <w:rFonts w:cs="Times New Roman"/>
        </w:rPr>
        <w:t xml:space="preserve"> establishments operating in </w:t>
      </w:r>
      <w:r w:rsidR="009D489E" w:rsidRPr="00AD70D8">
        <w:rPr>
          <w:rFonts w:cs="Times New Roman"/>
        </w:rPr>
        <w:t xml:space="preserve">Jerusalem Governorate </w:t>
      </w:r>
      <w:r w:rsidR="00834970" w:rsidRPr="00AD70D8">
        <w:rPr>
          <w:rFonts w:cs="Times New Roman"/>
        </w:rPr>
        <w:t>classified by main economic activity</w:t>
      </w:r>
      <w:r w:rsidR="00FB7CB6" w:rsidRPr="00AD70D8">
        <w:rPr>
          <w:rFonts w:cs="Times New Roman"/>
        </w:rPr>
        <w:t>:</w:t>
      </w:r>
      <w:r w:rsidR="00834970" w:rsidRPr="00AD70D8">
        <w:rPr>
          <w:rFonts w:cs="Times New Roman"/>
        </w:rPr>
        <w:t xml:space="preserve"> </w:t>
      </w:r>
      <w:r w:rsidR="00FC2814" w:rsidRPr="00AD70D8">
        <w:rPr>
          <w:rFonts w:cs="Times New Roman"/>
        </w:rPr>
        <w:t>5,326</w:t>
      </w:r>
      <w:r w:rsidR="00FB7CB6" w:rsidRPr="00AD70D8">
        <w:rPr>
          <w:rFonts w:cs="Times New Roman"/>
        </w:rPr>
        <w:t xml:space="preserve"> in w</w:t>
      </w:r>
      <w:r w:rsidR="00834970" w:rsidRPr="00AD70D8">
        <w:rPr>
          <w:rFonts w:cs="Times New Roman"/>
        </w:rPr>
        <w:t>holesale and retail trade; repair of motor vehicles and motorcycles</w:t>
      </w:r>
      <w:r w:rsidR="00FB7CB6" w:rsidRPr="00AD70D8">
        <w:rPr>
          <w:rFonts w:cs="Times New Roman"/>
        </w:rPr>
        <w:t>;</w:t>
      </w:r>
      <w:r w:rsidR="00834970" w:rsidRPr="00AD70D8">
        <w:rPr>
          <w:rFonts w:cs="Times New Roman"/>
        </w:rPr>
        <w:t xml:space="preserve"> </w:t>
      </w:r>
      <w:r w:rsidR="00FC2814" w:rsidRPr="00AD70D8">
        <w:rPr>
          <w:rFonts w:cs="Times New Roman"/>
        </w:rPr>
        <w:t>1,239</w:t>
      </w:r>
      <w:r w:rsidR="00FB7CB6" w:rsidRPr="00AD70D8">
        <w:rPr>
          <w:rFonts w:cs="Times New Roman"/>
        </w:rPr>
        <w:t xml:space="preserve"> in</w:t>
      </w:r>
      <w:r w:rsidR="00834970" w:rsidRPr="00AD70D8">
        <w:rPr>
          <w:rFonts w:cs="Times New Roman"/>
        </w:rPr>
        <w:t xml:space="preserve"> manufacturing</w:t>
      </w:r>
      <w:r w:rsidR="00FB7CB6" w:rsidRPr="00AD70D8">
        <w:rPr>
          <w:rFonts w:cs="Times New Roman"/>
        </w:rPr>
        <w:t>;</w:t>
      </w:r>
      <w:r w:rsidR="00834970" w:rsidRPr="00AD70D8">
        <w:rPr>
          <w:rFonts w:cs="Times New Roman"/>
        </w:rPr>
        <w:t xml:space="preserve"> and </w:t>
      </w:r>
      <w:r w:rsidR="00F35C40" w:rsidRPr="00AD70D8">
        <w:rPr>
          <w:rFonts w:cs="Times New Roman"/>
        </w:rPr>
        <w:t>969</w:t>
      </w:r>
      <w:r w:rsidR="00FB7CB6" w:rsidRPr="00AD70D8">
        <w:rPr>
          <w:rFonts w:cs="Times New Roman"/>
        </w:rPr>
        <w:t xml:space="preserve"> in </w:t>
      </w:r>
      <w:r w:rsidR="00834970" w:rsidRPr="00AD70D8">
        <w:rPr>
          <w:rFonts w:cs="Times New Roman"/>
        </w:rPr>
        <w:t xml:space="preserve">other service activities. </w:t>
      </w:r>
      <w:r w:rsidR="009F3886" w:rsidRPr="00AD70D8">
        <w:rPr>
          <w:rFonts w:cs="Times New Roman"/>
        </w:rPr>
        <w:t xml:space="preserve"> </w:t>
      </w:r>
    </w:p>
    <w:p w:rsidR="00E63140" w:rsidRPr="00AD70D8" w:rsidRDefault="00E63140" w:rsidP="00E63140">
      <w:pPr>
        <w:ind w:left="14"/>
        <w:jc w:val="center"/>
        <w:rPr>
          <w:rFonts w:ascii="Arial" w:hAnsi="Arial" w:cs="Arial"/>
          <w:b/>
          <w:bCs/>
          <w:sz w:val="12"/>
          <w:szCs w:val="12"/>
        </w:rPr>
      </w:pPr>
    </w:p>
    <w:p w:rsidR="00E63140" w:rsidRPr="00AD70D8" w:rsidRDefault="00E63140" w:rsidP="00E63140">
      <w:pPr>
        <w:ind w:left="14"/>
        <w:jc w:val="center"/>
        <w:rPr>
          <w:rFonts w:ascii="Arial" w:hAnsi="Arial" w:cs="Arial"/>
          <w:b/>
          <w:bCs/>
          <w:sz w:val="18"/>
          <w:szCs w:val="18"/>
        </w:rPr>
      </w:pPr>
      <w:r w:rsidRPr="00AD70D8">
        <w:rPr>
          <w:rFonts w:ascii="Arial" w:hAnsi="Arial" w:cs="Arial"/>
          <w:b/>
          <w:bCs/>
          <w:sz w:val="18"/>
          <w:szCs w:val="18"/>
        </w:rPr>
        <w:t>Number of Operating Establishments and Number of Employed Persons in</w:t>
      </w:r>
      <w:r w:rsidRPr="00AD70D8">
        <w:rPr>
          <w:rFonts w:ascii="Arial" w:hAnsi="Arial" w:cs="Arial"/>
          <w:b/>
          <w:bCs/>
          <w:sz w:val="18"/>
          <w:szCs w:val="18"/>
          <w:rtl/>
        </w:rPr>
        <w:t xml:space="preserve"> </w:t>
      </w:r>
      <w:r w:rsidRPr="00AD70D8">
        <w:rPr>
          <w:rFonts w:ascii="Arial" w:hAnsi="Arial" w:cs="Arial"/>
          <w:b/>
          <w:bCs/>
          <w:sz w:val="18"/>
          <w:szCs w:val="18"/>
        </w:rPr>
        <w:t xml:space="preserve">the </w:t>
      </w:r>
    </w:p>
    <w:p w:rsidR="00E63140" w:rsidRPr="00AD70D8" w:rsidRDefault="00E63140" w:rsidP="00E63140">
      <w:pPr>
        <w:ind w:left="14"/>
        <w:jc w:val="center"/>
        <w:rPr>
          <w:rFonts w:ascii="Arial" w:hAnsi="Arial" w:cs="Arial"/>
          <w:b/>
          <w:bCs/>
          <w:sz w:val="18"/>
          <w:szCs w:val="18"/>
        </w:rPr>
      </w:pPr>
      <w:r w:rsidRPr="00AD70D8">
        <w:rPr>
          <w:rFonts w:ascii="Arial" w:hAnsi="Arial" w:cs="Arial"/>
          <w:b/>
          <w:bCs/>
          <w:sz w:val="18"/>
          <w:szCs w:val="18"/>
        </w:rPr>
        <w:t>Private Sector, Non Governmental Organization Sector and Government</w:t>
      </w:r>
      <w:r w:rsidRPr="00AD70D8">
        <w:rPr>
          <w:rFonts w:ascii="Arial" w:hAnsi="Arial" w:cs="Arial"/>
          <w:b/>
          <w:bCs/>
          <w:sz w:val="18"/>
          <w:szCs w:val="18"/>
          <w:rtl/>
        </w:rPr>
        <w:t xml:space="preserve"> </w:t>
      </w:r>
    </w:p>
    <w:p w:rsidR="00E63140" w:rsidRPr="00AD70D8" w:rsidRDefault="00E63140" w:rsidP="00E63140">
      <w:pPr>
        <w:ind w:left="14"/>
        <w:jc w:val="center"/>
        <w:rPr>
          <w:rFonts w:ascii="Arial" w:hAnsi="Arial" w:cs="Arial"/>
          <w:b/>
          <w:bCs/>
          <w:sz w:val="18"/>
          <w:szCs w:val="18"/>
        </w:rPr>
      </w:pPr>
      <w:r w:rsidRPr="00AD70D8">
        <w:rPr>
          <w:rFonts w:ascii="Arial" w:hAnsi="Arial" w:cs="Arial"/>
          <w:b/>
          <w:bCs/>
          <w:sz w:val="18"/>
          <w:szCs w:val="18"/>
        </w:rPr>
        <w:t>Companies in Jerusalem Governorate by Area, 2017</w:t>
      </w:r>
    </w:p>
    <w:p w:rsidR="00E63140" w:rsidRPr="00AD70D8" w:rsidRDefault="00E63140" w:rsidP="00E63140">
      <w:pPr>
        <w:ind w:left="14"/>
        <w:jc w:val="center"/>
        <w:rPr>
          <w:rFonts w:ascii="Arial" w:hAnsi="Arial" w:cs="Arial"/>
          <w:b/>
          <w:bCs/>
          <w:sz w:val="6"/>
          <w:szCs w:val="6"/>
        </w:rPr>
      </w:pPr>
    </w:p>
    <w:p w:rsidR="00E63140" w:rsidRPr="00AD70D8" w:rsidRDefault="00E63140" w:rsidP="00796931">
      <w:pPr>
        <w:tabs>
          <w:tab w:val="num" w:pos="0"/>
          <w:tab w:val="left" w:pos="426"/>
        </w:tabs>
        <w:jc w:val="lowKashida"/>
        <w:rPr>
          <w:rFonts w:cs="Simplified Arabic"/>
          <w:b/>
          <w:bCs/>
        </w:rPr>
      </w:pPr>
      <w:r w:rsidRPr="00AD70D8">
        <w:rPr>
          <w:rFonts w:cs="Simplified Arabic"/>
          <w:b/>
          <w:bCs/>
          <w:noProof/>
          <w:bdr w:val="single" w:sz="4" w:space="0" w:color="auto"/>
        </w:rPr>
        <w:drawing>
          <wp:inline distT="0" distB="0" distL="0" distR="0">
            <wp:extent cx="4492723" cy="2009104"/>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E5A7F" w:rsidRPr="00AD70D8" w:rsidRDefault="004E5A7F" w:rsidP="00796931">
      <w:pPr>
        <w:tabs>
          <w:tab w:val="num" w:pos="0"/>
          <w:tab w:val="left" w:pos="426"/>
        </w:tabs>
        <w:jc w:val="lowKashida"/>
        <w:rPr>
          <w:rFonts w:cs="Simplified Arabic"/>
          <w:b/>
          <w:bCs/>
          <w:noProof/>
          <w:bdr w:val="single" w:sz="4" w:space="0" w:color="auto"/>
        </w:rPr>
      </w:pPr>
    </w:p>
    <w:p w:rsidR="009837D4" w:rsidRPr="005F3B94" w:rsidRDefault="009837D4"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 xml:space="preserve">National Accounts </w:t>
      </w:r>
    </w:p>
    <w:p w:rsidR="00CC62D6" w:rsidRPr="00AD70D8" w:rsidRDefault="00CC62D6" w:rsidP="00E909DB">
      <w:pPr>
        <w:pStyle w:val="BodyText2"/>
        <w:numPr>
          <w:ilvl w:val="0"/>
          <w:numId w:val="7"/>
        </w:numPr>
        <w:tabs>
          <w:tab w:val="num" w:pos="284"/>
        </w:tabs>
        <w:bidi w:val="0"/>
        <w:spacing w:before="80"/>
        <w:ind w:left="284" w:right="0" w:hanging="284"/>
      </w:pPr>
      <w:r w:rsidRPr="00AD70D8">
        <w:rPr>
          <w:rFonts w:cs="Times New Roman"/>
        </w:rPr>
        <w:t>In Jerusalem Governorate (J1), the gross value added at current prices was USD 1,3</w:t>
      </w:r>
      <w:r w:rsidR="00E909DB" w:rsidRPr="00AD70D8">
        <w:rPr>
          <w:rFonts w:cs="Times New Roman"/>
        </w:rPr>
        <w:t>48</w:t>
      </w:r>
      <w:r w:rsidRPr="00AD70D8">
        <w:rPr>
          <w:rFonts w:cs="Times New Roman"/>
        </w:rPr>
        <w:t>.</w:t>
      </w:r>
      <w:r w:rsidR="00E909DB" w:rsidRPr="00AD70D8">
        <w:rPr>
          <w:rFonts w:cs="Times New Roman"/>
        </w:rPr>
        <w:t xml:space="preserve">4 </w:t>
      </w:r>
      <w:r w:rsidRPr="00AD70D8">
        <w:rPr>
          <w:rFonts w:cs="Times New Roman"/>
        </w:rPr>
        <w:t xml:space="preserve">million for </w:t>
      </w:r>
      <w:r w:rsidR="00844F19" w:rsidRPr="00AD70D8">
        <w:rPr>
          <w:rFonts w:cs="Times New Roman" w:hint="cs"/>
          <w:rtl/>
        </w:rPr>
        <w:t>2019</w:t>
      </w:r>
      <w:r w:rsidRPr="00AD70D8">
        <w:rPr>
          <w:rFonts w:cs="Times New Roman"/>
        </w:rPr>
        <w:t xml:space="preserve"> compared</w:t>
      </w:r>
      <w:r w:rsidRPr="00AD70D8">
        <w:t xml:space="preserve"> with USD</w:t>
      </w:r>
      <w:r w:rsidRPr="00AD70D8">
        <w:rPr>
          <w:rtl/>
        </w:rPr>
        <w:t xml:space="preserve"> </w:t>
      </w:r>
      <w:r w:rsidRPr="00AD70D8">
        <w:t>1,3</w:t>
      </w:r>
      <w:r w:rsidR="00E909DB" w:rsidRPr="00AD70D8">
        <w:t>21</w:t>
      </w:r>
      <w:r w:rsidRPr="00AD70D8">
        <w:t>.</w:t>
      </w:r>
      <w:r w:rsidR="00E909DB" w:rsidRPr="00AD70D8">
        <w:t>6</w:t>
      </w:r>
      <w:r w:rsidRPr="00AD70D8">
        <w:t xml:space="preserve"> million in </w:t>
      </w:r>
      <w:r w:rsidR="00844F19" w:rsidRPr="00AD70D8">
        <w:rPr>
          <w:rFonts w:hint="cs"/>
          <w:rtl/>
        </w:rPr>
        <w:t>2018</w:t>
      </w:r>
      <w:r w:rsidRPr="00AD70D8">
        <w:t>.</w:t>
      </w:r>
    </w:p>
    <w:p w:rsidR="00CC62D6" w:rsidRPr="00AD70D8" w:rsidRDefault="00CC62D6" w:rsidP="00CC62D6"/>
    <w:p w:rsidR="00CC62D6" w:rsidRPr="00AD70D8" w:rsidRDefault="00CC62D6" w:rsidP="00CC62D6"/>
    <w:p w:rsidR="006B3E42" w:rsidRPr="00AD70D8" w:rsidRDefault="006B3E42" w:rsidP="006B3E42">
      <w:pPr>
        <w:pStyle w:val="Heading3"/>
        <w:spacing w:before="0"/>
        <w:ind w:right="-5"/>
        <w:jc w:val="center"/>
        <w:rPr>
          <w:rFonts w:ascii="Arial" w:hAnsi="Arial" w:cs="Arial"/>
          <w:color w:val="auto"/>
          <w:sz w:val="18"/>
          <w:szCs w:val="18"/>
        </w:rPr>
      </w:pPr>
      <w:r w:rsidRPr="00AD70D8">
        <w:rPr>
          <w:rFonts w:ascii="Arial" w:hAnsi="Arial" w:cs="Arial"/>
          <w:color w:val="auto"/>
          <w:sz w:val="18"/>
          <w:szCs w:val="18"/>
        </w:rPr>
        <w:lastRenderedPageBreak/>
        <w:t xml:space="preserve">Percentage Distribution of Value Added in Jerusalem Governorate </w:t>
      </w:r>
    </w:p>
    <w:p w:rsidR="006B3E42" w:rsidRPr="00AD70D8" w:rsidRDefault="006B3E42" w:rsidP="006B3E42">
      <w:pPr>
        <w:pStyle w:val="Heading3"/>
        <w:spacing w:before="0"/>
        <w:ind w:right="-5"/>
        <w:jc w:val="center"/>
        <w:rPr>
          <w:rFonts w:ascii="Arial" w:hAnsi="Arial" w:cs="Arial"/>
          <w:color w:val="auto"/>
          <w:sz w:val="18"/>
          <w:szCs w:val="18"/>
        </w:rPr>
      </w:pPr>
      <w:r w:rsidRPr="00AD70D8">
        <w:rPr>
          <w:rFonts w:ascii="Arial" w:hAnsi="Arial" w:cs="Arial"/>
          <w:color w:val="auto"/>
          <w:sz w:val="18"/>
          <w:szCs w:val="18"/>
        </w:rPr>
        <w:t xml:space="preserve"> (J1) by Economic Activity, 2019</w:t>
      </w:r>
    </w:p>
    <w:p w:rsidR="006B3E42" w:rsidRPr="00AD70D8" w:rsidRDefault="006B3E42" w:rsidP="006B3E42">
      <w:pPr>
        <w:tabs>
          <w:tab w:val="left" w:pos="2750"/>
        </w:tabs>
        <w:rPr>
          <w:b/>
          <w:bCs/>
          <w:rtl/>
        </w:rPr>
      </w:pPr>
      <w:r w:rsidRPr="00AD70D8">
        <w:rPr>
          <w:sz w:val="10"/>
          <w:szCs w:val="10"/>
        </w:rPr>
        <w:tab/>
      </w:r>
      <w:r w:rsidRPr="00AD70D8">
        <w:rPr>
          <w:noProof/>
          <w:bdr w:val="single" w:sz="4" w:space="0" w:color="auto"/>
        </w:rPr>
        <w:drawing>
          <wp:inline distT="0" distB="0" distL="0" distR="0" wp14:anchorId="4D88A44D" wp14:editId="0E13F019">
            <wp:extent cx="4543425" cy="2080939"/>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C62D6" w:rsidRPr="00AD70D8" w:rsidRDefault="00CC62D6" w:rsidP="00CC62D6">
      <w:pPr>
        <w:tabs>
          <w:tab w:val="left" w:pos="284"/>
        </w:tabs>
        <w:jc w:val="both"/>
        <w:rPr>
          <w:rFonts w:cs="Simplified Arabic"/>
          <w:sz w:val="2"/>
          <w:szCs w:val="2"/>
        </w:rPr>
      </w:pPr>
    </w:p>
    <w:p w:rsidR="00CC62D6" w:rsidRPr="003C0C36" w:rsidRDefault="00CC62D6" w:rsidP="00CC62D6">
      <w:pPr>
        <w:jc w:val="both"/>
        <w:rPr>
          <w:sz w:val="14"/>
          <w:szCs w:val="14"/>
        </w:rPr>
      </w:pPr>
      <w:r w:rsidRPr="003C0C36">
        <w:rPr>
          <w:b/>
          <w:bCs/>
          <w:sz w:val="14"/>
          <w:szCs w:val="14"/>
        </w:rPr>
        <w:t>Note</w:t>
      </w:r>
      <w:r w:rsidRPr="003C0C36">
        <w:rPr>
          <w:sz w:val="14"/>
          <w:szCs w:val="14"/>
        </w:rPr>
        <w:t>: Value added within national accounts includes all value added incurred from all economic sectors including the informal sector.</w:t>
      </w:r>
    </w:p>
    <w:p w:rsidR="00CC62D6" w:rsidRPr="00AD70D8" w:rsidRDefault="00CC62D6" w:rsidP="00CC62D6">
      <w:pPr>
        <w:jc w:val="both"/>
        <w:rPr>
          <w:sz w:val="16"/>
          <w:szCs w:val="16"/>
        </w:rPr>
      </w:pPr>
    </w:p>
    <w:p w:rsidR="003E2692" w:rsidRPr="005F3B94" w:rsidRDefault="003E2692"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 xml:space="preserve">Consumer Prices </w:t>
      </w:r>
    </w:p>
    <w:p w:rsidR="003E2692" w:rsidRPr="00AD70D8" w:rsidRDefault="003E2692" w:rsidP="003E2692">
      <w:pPr>
        <w:pStyle w:val="BodyText2"/>
        <w:numPr>
          <w:ilvl w:val="0"/>
          <w:numId w:val="7"/>
        </w:numPr>
        <w:tabs>
          <w:tab w:val="num" w:pos="284"/>
        </w:tabs>
        <w:bidi w:val="0"/>
        <w:spacing w:before="80"/>
        <w:ind w:left="284" w:right="0" w:hanging="284"/>
        <w:rPr>
          <w:rFonts w:cs="Times New Roman"/>
        </w:rPr>
      </w:pPr>
      <w:r w:rsidRPr="00AD70D8">
        <w:rPr>
          <w:rFonts w:cs="Times New Roman"/>
        </w:rPr>
        <w:t xml:space="preserve">The consumer price index in Jerusalem Governorate (J1) increased by </w:t>
      </w:r>
      <w:r w:rsidRPr="00AD70D8">
        <w:rPr>
          <w:rFonts w:cs="Times New Roman" w:hint="cs"/>
          <w:rtl/>
        </w:rPr>
        <w:t>0.74</w:t>
      </w:r>
      <w:r w:rsidRPr="00AD70D8">
        <w:rPr>
          <w:rFonts w:cs="Times New Roman"/>
        </w:rPr>
        <w:t xml:space="preserve">% in 2020 compared with 2019, and by </w:t>
      </w:r>
      <w:r w:rsidRPr="00AD70D8">
        <w:rPr>
          <w:rFonts w:cs="Times New Roman" w:hint="cs"/>
          <w:rtl/>
        </w:rPr>
        <w:t>1.37</w:t>
      </w:r>
      <w:r w:rsidRPr="00AD70D8">
        <w:rPr>
          <w:rFonts w:cs="Times New Roman"/>
        </w:rPr>
        <w:t>% in 2019 compared with 2018.</w:t>
      </w:r>
    </w:p>
    <w:p w:rsidR="000B6CC4" w:rsidRPr="00AD70D8" w:rsidRDefault="000B6CC4" w:rsidP="00C06EC0">
      <w:pPr>
        <w:tabs>
          <w:tab w:val="num" w:pos="0"/>
        </w:tabs>
        <w:jc w:val="lowKashida"/>
        <w:rPr>
          <w:rFonts w:cs="Simplified Arabic"/>
          <w:b/>
          <w:bCs/>
        </w:rPr>
      </w:pPr>
    </w:p>
    <w:p w:rsidR="009D13A2" w:rsidRPr="005F3B94" w:rsidRDefault="009D13A2"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Transportation</w:t>
      </w:r>
      <w:r w:rsidR="00BF7E02" w:rsidRPr="005F3B94">
        <w:rPr>
          <w:b/>
          <w:bCs/>
          <w:sz w:val="22"/>
          <w:szCs w:val="22"/>
        </w:rPr>
        <w:t xml:space="preserve"> and</w:t>
      </w:r>
      <w:r w:rsidRPr="005F3B94">
        <w:rPr>
          <w:b/>
          <w:bCs/>
          <w:sz w:val="22"/>
          <w:szCs w:val="22"/>
        </w:rPr>
        <w:t xml:space="preserve"> </w:t>
      </w:r>
      <w:r w:rsidR="00C06EC0" w:rsidRPr="005F3B94">
        <w:rPr>
          <w:b/>
          <w:bCs/>
          <w:sz w:val="22"/>
          <w:szCs w:val="22"/>
        </w:rPr>
        <w:t>Telecommunication</w:t>
      </w:r>
    </w:p>
    <w:p w:rsidR="009D13A2" w:rsidRPr="00AD70D8" w:rsidRDefault="009D13A2" w:rsidP="009D13A2">
      <w:pPr>
        <w:tabs>
          <w:tab w:val="num" w:pos="0"/>
        </w:tabs>
        <w:jc w:val="lowKashida"/>
        <w:rPr>
          <w:sz w:val="8"/>
          <w:szCs w:val="8"/>
        </w:rPr>
      </w:pPr>
      <w:r w:rsidRPr="00AD70D8">
        <w:rPr>
          <w:rFonts w:cs="Simplified Arabic"/>
          <w:b/>
          <w:bCs/>
          <w:sz w:val="16"/>
          <w:szCs w:val="16"/>
        </w:rPr>
        <w:t xml:space="preserve"> </w:t>
      </w:r>
    </w:p>
    <w:p w:rsidR="008A3E11" w:rsidRPr="00AD70D8" w:rsidRDefault="005F3B94" w:rsidP="00CE728D">
      <w:pPr>
        <w:jc w:val="lowKashida"/>
        <w:rPr>
          <w:rFonts w:cs="Simplified Arabic"/>
          <w:b/>
          <w:bCs/>
        </w:rPr>
      </w:pPr>
      <w:r>
        <w:rPr>
          <w:rFonts w:cs="Simplified Arabic"/>
          <w:b/>
          <w:bCs/>
        </w:rPr>
        <w:t>1</w:t>
      </w:r>
      <w:r w:rsidR="00CE728D">
        <w:rPr>
          <w:rFonts w:cs="Simplified Arabic"/>
          <w:b/>
          <w:bCs/>
        </w:rPr>
        <w:t>5</w:t>
      </w:r>
      <w:r>
        <w:rPr>
          <w:rFonts w:cs="Simplified Arabic"/>
          <w:b/>
          <w:bCs/>
        </w:rPr>
        <w:t xml:space="preserve">.1 </w:t>
      </w:r>
      <w:r w:rsidR="008A3E11" w:rsidRPr="00AD70D8">
        <w:rPr>
          <w:rFonts w:cs="Simplified Arabic"/>
          <w:b/>
          <w:bCs/>
        </w:rPr>
        <w:t>Transportation and Storage:</w:t>
      </w:r>
    </w:p>
    <w:p w:rsidR="008A3E11" w:rsidRPr="003C0C36" w:rsidRDefault="008A3E11" w:rsidP="003C0C36">
      <w:pPr>
        <w:pStyle w:val="BodyText2"/>
        <w:numPr>
          <w:ilvl w:val="0"/>
          <w:numId w:val="7"/>
        </w:numPr>
        <w:tabs>
          <w:tab w:val="clear" w:pos="502"/>
          <w:tab w:val="num" w:pos="284"/>
          <w:tab w:val="num" w:pos="810"/>
        </w:tabs>
        <w:bidi w:val="0"/>
        <w:ind w:left="284" w:right="0" w:hanging="284"/>
        <w:rPr>
          <w:rFonts w:cs="Times New Roman"/>
        </w:rPr>
      </w:pPr>
      <w:r w:rsidRPr="00AD70D8">
        <w:rPr>
          <w:rFonts w:cs="Times New Roman"/>
        </w:rPr>
        <w:t xml:space="preserve">There were 184 establishments </w:t>
      </w:r>
      <w:r w:rsidR="003C0C36" w:rsidRPr="00AD70D8">
        <w:rPr>
          <w:rFonts w:cs="Times New Roman"/>
        </w:rPr>
        <w:t xml:space="preserve">operating </w:t>
      </w:r>
      <w:r w:rsidR="003C0C36" w:rsidRPr="00AD70D8">
        <w:rPr>
          <w:rFonts w:cs="Times New Roman" w:hint="cs"/>
        </w:rPr>
        <w:t>in</w:t>
      </w:r>
      <w:r w:rsidRPr="00AD70D8">
        <w:rPr>
          <w:rFonts w:cs="Times New Roman"/>
        </w:rPr>
        <w:t xml:space="preserve"> Jerusalem Governorate in 2019.</w:t>
      </w:r>
    </w:p>
    <w:p w:rsidR="008A3E11" w:rsidRPr="00AD70D8" w:rsidRDefault="008A3E11" w:rsidP="003C0C36">
      <w:pPr>
        <w:pStyle w:val="BodyText2"/>
        <w:numPr>
          <w:ilvl w:val="0"/>
          <w:numId w:val="7"/>
        </w:numPr>
        <w:tabs>
          <w:tab w:val="clear" w:pos="502"/>
          <w:tab w:val="num" w:pos="284"/>
          <w:tab w:val="num" w:pos="810"/>
        </w:tabs>
        <w:bidi w:val="0"/>
        <w:ind w:left="284" w:right="0" w:hanging="284"/>
        <w:rPr>
          <w:rFonts w:cs="Times New Roman"/>
        </w:rPr>
      </w:pPr>
      <w:r w:rsidRPr="00AD70D8">
        <w:rPr>
          <w:rFonts w:cs="Times New Roman"/>
        </w:rPr>
        <w:t>There were 804 employed persons in this sector in Jerusalem Governorate in 2019.</w:t>
      </w:r>
    </w:p>
    <w:p w:rsidR="008A3E11" w:rsidRPr="00AD70D8" w:rsidRDefault="008A3E11" w:rsidP="003C0C36">
      <w:pPr>
        <w:pStyle w:val="BodyText2"/>
        <w:numPr>
          <w:ilvl w:val="0"/>
          <w:numId w:val="7"/>
        </w:numPr>
        <w:tabs>
          <w:tab w:val="clear" w:pos="502"/>
          <w:tab w:val="num" w:pos="284"/>
          <w:tab w:val="num" w:pos="810"/>
        </w:tabs>
        <w:bidi w:val="0"/>
        <w:ind w:left="284" w:right="0" w:hanging="284"/>
        <w:rPr>
          <w:rFonts w:cs="Times New Roman"/>
        </w:rPr>
      </w:pPr>
      <w:r w:rsidRPr="00AD70D8">
        <w:rPr>
          <w:rFonts w:cs="Times New Roman"/>
        </w:rPr>
        <w:t>The output value in Jerusalem Governorate was USD 7.9 million in 2019.</w:t>
      </w:r>
    </w:p>
    <w:p w:rsidR="008A3E11" w:rsidRPr="00AD70D8" w:rsidRDefault="008A3E11" w:rsidP="003C0C36">
      <w:pPr>
        <w:pStyle w:val="BodyText2"/>
        <w:numPr>
          <w:ilvl w:val="0"/>
          <w:numId w:val="7"/>
        </w:numPr>
        <w:tabs>
          <w:tab w:val="clear" w:pos="502"/>
          <w:tab w:val="num" w:pos="284"/>
          <w:tab w:val="num" w:pos="810"/>
        </w:tabs>
        <w:bidi w:val="0"/>
        <w:ind w:left="284" w:right="0" w:hanging="284"/>
        <w:rPr>
          <w:rFonts w:cs="Times New Roman"/>
        </w:rPr>
      </w:pPr>
      <w:r w:rsidRPr="00AD70D8">
        <w:rPr>
          <w:rFonts w:cs="Times New Roman"/>
        </w:rPr>
        <w:t>The value added realized by the transportation and storage was USD 5.0 million            in 2019.</w:t>
      </w:r>
    </w:p>
    <w:p w:rsidR="008A3E11" w:rsidRPr="00AD70D8" w:rsidRDefault="008A3E11" w:rsidP="008A3E11">
      <w:pPr>
        <w:overflowPunct/>
        <w:autoSpaceDE/>
        <w:autoSpaceDN/>
        <w:adjustRightInd/>
        <w:jc w:val="lowKashida"/>
        <w:textAlignment w:val="auto"/>
        <w:rPr>
          <w:rFonts w:asciiTheme="majorBidi" w:hAnsiTheme="majorBidi" w:cstheme="majorBidi"/>
          <w:b/>
          <w:bCs/>
        </w:rPr>
      </w:pPr>
    </w:p>
    <w:p w:rsidR="008A3E11" w:rsidRPr="00AD70D8" w:rsidRDefault="005F3B94" w:rsidP="00CE728D">
      <w:pPr>
        <w:jc w:val="lowKashida"/>
        <w:rPr>
          <w:rFonts w:cs="Simplified Arabic"/>
          <w:b/>
          <w:bCs/>
        </w:rPr>
      </w:pPr>
      <w:r>
        <w:rPr>
          <w:rFonts w:cs="Simplified Arabic"/>
          <w:b/>
          <w:bCs/>
        </w:rPr>
        <w:t>1</w:t>
      </w:r>
      <w:r w:rsidR="00CE728D">
        <w:rPr>
          <w:rFonts w:cs="Simplified Arabic"/>
          <w:b/>
          <w:bCs/>
        </w:rPr>
        <w:t>5</w:t>
      </w:r>
      <w:r>
        <w:rPr>
          <w:rFonts w:cs="Simplified Arabic"/>
          <w:b/>
          <w:bCs/>
        </w:rPr>
        <w:t xml:space="preserve">.2 </w:t>
      </w:r>
      <w:r w:rsidR="008A3E11" w:rsidRPr="00AD70D8">
        <w:rPr>
          <w:rFonts w:cs="Simplified Arabic"/>
          <w:b/>
          <w:bCs/>
        </w:rPr>
        <w:t>Information and Telecommunication:</w:t>
      </w:r>
    </w:p>
    <w:p w:rsidR="008A3E11" w:rsidRPr="00AD70D8" w:rsidRDefault="008A3E11" w:rsidP="008A3E11">
      <w:pPr>
        <w:pStyle w:val="BodyText2"/>
        <w:numPr>
          <w:ilvl w:val="0"/>
          <w:numId w:val="7"/>
        </w:numPr>
        <w:tabs>
          <w:tab w:val="clear" w:pos="502"/>
          <w:tab w:val="num" w:pos="284"/>
          <w:tab w:val="num" w:pos="810"/>
        </w:tabs>
        <w:bidi w:val="0"/>
        <w:spacing w:before="80"/>
        <w:ind w:left="284" w:right="0" w:hanging="284"/>
        <w:rPr>
          <w:rFonts w:cs="Times New Roman"/>
        </w:rPr>
      </w:pPr>
      <w:r w:rsidRPr="00AD70D8">
        <w:rPr>
          <w:rFonts w:cs="Times New Roman"/>
        </w:rPr>
        <w:t xml:space="preserve">There were 48 establishments </w:t>
      </w:r>
      <w:r w:rsidR="003C0C36" w:rsidRPr="00AD70D8">
        <w:rPr>
          <w:rFonts w:cs="Times New Roman"/>
        </w:rPr>
        <w:t xml:space="preserve">operating </w:t>
      </w:r>
      <w:r w:rsidR="003C0C36" w:rsidRPr="00AD70D8">
        <w:rPr>
          <w:rFonts w:cs="Times New Roman" w:hint="cs"/>
        </w:rPr>
        <w:t>in</w:t>
      </w:r>
      <w:r w:rsidRPr="00AD70D8">
        <w:rPr>
          <w:rFonts w:cs="Times New Roman"/>
        </w:rPr>
        <w:t xml:space="preserve"> Jerusalem Governorate in 2019.</w:t>
      </w:r>
    </w:p>
    <w:p w:rsidR="008A3E11" w:rsidRPr="00AD70D8" w:rsidRDefault="008A3E11" w:rsidP="008A3E11">
      <w:pPr>
        <w:pStyle w:val="ListParagraph"/>
        <w:tabs>
          <w:tab w:val="left" w:pos="284"/>
        </w:tabs>
        <w:jc w:val="lowKashida"/>
        <w:rPr>
          <w:rFonts w:asciiTheme="majorBidi" w:hAnsiTheme="majorBidi" w:cstheme="majorBidi"/>
          <w:b/>
          <w:bCs/>
          <w:sz w:val="2"/>
          <w:szCs w:val="2"/>
        </w:rPr>
      </w:pPr>
    </w:p>
    <w:p w:rsidR="008A3E11" w:rsidRPr="00AD70D8" w:rsidRDefault="008A3E11" w:rsidP="008A3E11">
      <w:pPr>
        <w:pStyle w:val="BodyText2"/>
        <w:numPr>
          <w:ilvl w:val="0"/>
          <w:numId w:val="7"/>
        </w:numPr>
        <w:tabs>
          <w:tab w:val="clear" w:pos="502"/>
          <w:tab w:val="num" w:pos="284"/>
          <w:tab w:val="num" w:pos="810"/>
        </w:tabs>
        <w:bidi w:val="0"/>
        <w:spacing w:before="80"/>
        <w:ind w:left="284" w:right="0" w:hanging="284"/>
        <w:rPr>
          <w:rFonts w:cs="Times New Roman"/>
        </w:rPr>
      </w:pPr>
      <w:r w:rsidRPr="00AD70D8">
        <w:rPr>
          <w:rFonts w:cs="Times New Roman"/>
        </w:rPr>
        <w:t xml:space="preserve">There were 94 employed persons in this sector in Jerusalem Governorate in 2019. </w:t>
      </w:r>
    </w:p>
    <w:p w:rsidR="008A3E11" w:rsidRPr="00AD70D8" w:rsidRDefault="008A3E11" w:rsidP="008A3E11">
      <w:pPr>
        <w:pStyle w:val="BodyText2"/>
        <w:numPr>
          <w:ilvl w:val="0"/>
          <w:numId w:val="7"/>
        </w:numPr>
        <w:tabs>
          <w:tab w:val="clear" w:pos="502"/>
          <w:tab w:val="num" w:pos="284"/>
          <w:tab w:val="num" w:pos="810"/>
        </w:tabs>
        <w:bidi w:val="0"/>
        <w:spacing w:before="80"/>
        <w:ind w:left="284" w:right="0" w:hanging="284"/>
        <w:rPr>
          <w:rFonts w:cs="Times New Roman"/>
        </w:rPr>
      </w:pPr>
      <w:r w:rsidRPr="00AD70D8">
        <w:rPr>
          <w:rFonts w:cs="Times New Roman"/>
        </w:rPr>
        <w:t>The output value in Jerusalem Governorate was USD 2.2 million in 2019.</w:t>
      </w:r>
    </w:p>
    <w:p w:rsidR="008A3E11" w:rsidRPr="00AD70D8" w:rsidRDefault="008A3E11" w:rsidP="008A3E11">
      <w:pPr>
        <w:pStyle w:val="BodyText2"/>
        <w:numPr>
          <w:ilvl w:val="0"/>
          <w:numId w:val="7"/>
        </w:numPr>
        <w:tabs>
          <w:tab w:val="clear" w:pos="502"/>
          <w:tab w:val="num" w:pos="284"/>
          <w:tab w:val="num" w:pos="810"/>
        </w:tabs>
        <w:bidi w:val="0"/>
        <w:spacing w:before="80"/>
        <w:ind w:left="284" w:right="0" w:hanging="284"/>
        <w:rPr>
          <w:rFonts w:cs="Times New Roman"/>
        </w:rPr>
      </w:pPr>
      <w:r w:rsidRPr="00AD70D8">
        <w:rPr>
          <w:rFonts w:cs="Times New Roman"/>
        </w:rPr>
        <w:t>The value added realized by the information and telecommunication activities was USD 1.8 million in 2019.</w:t>
      </w:r>
    </w:p>
    <w:p w:rsidR="00262BC4" w:rsidRPr="00AD70D8" w:rsidRDefault="00262BC4" w:rsidP="00262BC4">
      <w:pPr>
        <w:pStyle w:val="BodyText2"/>
        <w:bidi w:val="0"/>
        <w:spacing w:before="80"/>
        <w:ind w:left="284" w:right="720"/>
        <w:rPr>
          <w:rFonts w:cs="Times New Roman"/>
        </w:rPr>
      </w:pPr>
    </w:p>
    <w:p w:rsidR="005F3B94" w:rsidRDefault="005F3B94">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rsidR="008A3E11" w:rsidRPr="00AD70D8" w:rsidRDefault="008A3E11" w:rsidP="008A3E11">
      <w:pPr>
        <w:jc w:val="center"/>
        <w:rPr>
          <w:rFonts w:ascii="Arial" w:hAnsi="Arial" w:cs="Arial"/>
          <w:b/>
          <w:bCs/>
          <w:sz w:val="18"/>
          <w:szCs w:val="18"/>
          <w:rtl/>
        </w:rPr>
      </w:pPr>
      <w:r w:rsidRPr="00AD70D8">
        <w:rPr>
          <w:rFonts w:ascii="Arial" w:hAnsi="Arial" w:cs="Arial"/>
          <w:b/>
          <w:bCs/>
          <w:sz w:val="18"/>
          <w:szCs w:val="18"/>
        </w:rPr>
        <w:lastRenderedPageBreak/>
        <w:t>Main Economic Indicators for Information and Telecommunication</w:t>
      </w:r>
    </w:p>
    <w:p w:rsidR="008A3E11" w:rsidRPr="00AD70D8" w:rsidRDefault="008A3E11" w:rsidP="008A3E11">
      <w:pPr>
        <w:jc w:val="center"/>
        <w:rPr>
          <w:rFonts w:ascii="Arial" w:hAnsi="Arial" w:cs="Arial"/>
          <w:b/>
          <w:bCs/>
          <w:sz w:val="18"/>
          <w:szCs w:val="18"/>
        </w:rPr>
      </w:pPr>
      <w:r w:rsidRPr="00AD70D8">
        <w:rPr>
          <w:rFonts w:ascii="Arial" w:hAnsi="Arial" w:cs="Arial" w:hint="cs"/>
          <w:b/>
          <w:bCs/>
          <w:sz w:val="18"/>
          <w:szCs w:val="18"/>
          <w:rtl/>
        </w:rPr>
        <w:t xml:space="preserve"> </w:t>
      </w:r>
      <w:r w:rsidRPr="00AD70D8">
        <w:rPr>
          <w:rFonts w:ascii="Arial" w:hAnsi="Arial" w:cs="Arial"/>
          <w:b/>
          <w:bCs/>
          <w:sz w:val="18"/>
          <w:szCs w:val="18"/>
        </w:rPr>
        <w:t>Activities in Jerusalem Governorate, 2019</w:t>
      </w:r>
    </w:p>
    <w:p w:rsidR="008A3E11" w:rsidRPr="00AD70D8" w:rsidRDefault="008A3E11" w:rsidP="003C0C36">
      <w:pPr>
        <w:rPr>
          <w:rFonts w:cs="Simplified Arabic"/>
          <w:sz w:val="16"/>
          <w:szCs w:val="16"/>
        </w:rPr>
      </w:pPr>
      <w:r w:rsidRPr="00AD70D8">
        <w:rPr>
          <w:rFonts w:cs="Simplified Arabic" w:hint="cs"/>
          <w:sz w:val="16"/>
          <w:szCs w:val="16"/>
          <w:rtl/>
        </w:rPr>
        <w:t xml:space="preserve">        </w:t>
      </w:r>
      <w:r w:rsidRPr="00AD70D8">
        <w:rPr>
          <w:rFonts w:ascii="Arial" w:hAnsi="Arial" w:cs="Simplified Arabic"/>
          <w:sz w:val="16"/>
          <w:szCs w:val="16"/>
        </w:rPr>
        <w:t>(Value in 1000 USD)</w:t>
      </w:r>
    </w:p>
    <w:tbl>
      <w:tblPr>
        <w:tblStyle w:val="TableGrid"/>
        <w:tblW w:w="0" w:type="auto"/>
        <w:jc w:val="center"/>
        <w:tblLook w:val="04A0" w:firstRow="1" w:lastRow="0" w:firstColumn="1" w:lastColumn="0" w:noHBand="0" w:noVBand="1"/>
      </w:tblPr>
      <w:tblGrid>
        <w:gridCol w:w="6771"/>
      </w:tblGrid>
      <w:tr w:rsidR="008A3E11" w:rsidRPr="00AD70D8" w:rsidTr="003C0C36">
        <w:trPr>
          <w:jc w:val="center"/>
        </w:trPr>
        <w:tc>
          <w:tcPr>
            <w:tcW w:w="6771" w:type="dxa"/>
          </w:tcPr>
          <w:p w:rsidR="008A3E11" w:rsidRPr="00AD70D8" w:rsidRDefault="008A3E11" w:rsidP="003C0C36">
            <w:pPr>
              <w:jc w:val="center"/>
              <w:rPr>
                <w:rFonts w:ascii="Arial" w:hAnsi="Arial"/>
                <w:sz w:val="16"/>
                <w:szCs w:val="16"/>
              </w:rPr>
            </w:pPr>
            <w:r w:rsidRPr="00AD70D8">
              <w:rPr>
                <w:rFonts w:ascii="Arial" w:hAnsi="Arial"/>
                <w:noProof/>
                <w:sz w:val="16"/>
                <w:szCs w:val="16"/>
              </w:rPr>
              <w:drawing>
                <wp:inline distT="0" distB="0" distL="0" distR="0" wp14:anchorId="382FA06B" wp14:editId="162A0C87">
                  <wp:extent cx="4140200" cy="1816925"/>
                  <wp:effectExtent l="0" t="0" r="0" b="0"/>
                  <wp:docPr id="1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A3E11" w:rsidRPr="00AD70D8" w:rsidRDefault="008A3E11" w:rsidP="007A5D60">
      <w:pPr>
        <w:jc w:val="center"/>
        <w:rPr>
          <w:rFonts w:ascii="Arial" w:hAnsi="Arial" w:cs="Arial"/>
          <w:b/>
          <w:bCs/>
          <w:sz w:val="18"/>
          <w:szCs w:val="18"/>
        </w:rPr>
      </w:pPr>
    </w:p>
    <w:p w:rsidR="009D13A2" w:rsidRPr="005F3B94" w:rsidRDefault="009D13A2"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Construction Sector</w:t>
      </w:r>
    </w:p>
    <w:p w:rsidR="009D13A2" w:rsidRPr="00AD70D8" w:rsidRDefault="009D13A2" w:rsidP="009D13A2">
      <w:pPr>
        <w:pStyle w:val="BodyText2"/>
        <w:tabs>
          <w:tab w:val="left" w:pos="284"/>
        </w:tabs>
        <w:bidi w:val="0"/>
        <w:rPr>
          <w:b/>
          <w:bCs/>
          <w:sz w:val="2"/>
          <w:szCs w:val="2"/>
        </w:rPr>
      </w:pPr>
    </w:p>
    <w:p w:rsidR="008A3E11" w:rsidRPr="00AD70D8" w:rsidRDefault="008A3E11" w:rsidP="005F3B94">
      <w:pPr>
        <w:pStyle w:val="BodyText2"/>
        <w:numPr>
          <w:ilvl w:val="0"/>
          <w:numId w:val="7"/>
        </w:numPr>
        <w:tabs>
          <w:tab w:val="num" w:pos="284"/>
        </w:tabs>
        <w:bidi w:val="0"/>
        <w:ind w:left="284" w:right="0" w:hanging="284"/>
        <w:rPr>
          <w:rFonts w:cs="Times New Roman"/>
        </w:rPr>
      </w:pPr>
      <w:r w:rsidRPr="00AD70D8">
        <w:rPr>
          <w:rFonts w:cs="Times New Roman"/>
        </w:rPr>
        <w:t>10</w:t>
      </w:r>
      <w:r w:rsidR="0031305E" w:rsidRPr="00AD70D8">
        <w:rPr>
          <w:rFonts w:cs="Times New Roman"/>
        </w:rPr>
        <w:t>2</w:t>
      </w:r>
      <w:r w:rsidRPr="00AD70D8">
        <w:rPr>
          <w:rFonts w:cs="Times New Roman"/>
        </w:rPr>
        <w:t xml:space="preserve"> building licenses were issued in Jerusalem Governorate (J2) with an area of </w:t>
      </w:r>
      <w:r w:rsidR="0031305E" w:rsidRPr="00AD70D8">
        <w:rPr>
          <w:rFonts w:cs="Times New Roman"/>
        </w:rPr>
        <w:t>69.5</w:t>
      </w:r>
      <w:r w:rsidRPr="00AD70D8">
        <w:rPr>
          <w:rFonts w:cs="Times New Roman"/>
        </w:rPr>
        <w:t xml:space="preserve"> thousand m</w:t>
      </w:r>
      <w:r w:rsidRPr="00AD70D8">
        <w:rPr>
          <w:rFonts w:cs="Times New Roman"/>
          <w:vertAlign w:val="superscript"/>
        </w:rPr>
        <w:t>2</w:t>
      </w:r>
      <w:r w:rsidRPr="00AD70D8">
        <w:rPr>
          <w:rFonts w:cs="Times New Roman"/>
        </w:rPr>
        <w:t xml:space="preserve"> in 2020.</w:t>
      </w:r>
    </w:p>
    <w:p w:rsidR="008A3E11" w:rsidRPr="00AD70D8" w:rsidRDefault="008A3E11" w:rsidP="005F3B94">
      <w:pPr>
        <w:pStyle w:val="BodyText2"/>
        <w:numPr>
          <w:ilvl w:val="0"/>
          <w:numId w:val="7"/>
        </w:numPr>
        <w:tabs>
          <w:tab w:val="num" w:pos="284"/>
        </w:tabs>
        <w:bidi w:val="0"/>
        <w:ind w:left="284" w:right="0" w:hanging="284"/>
        <w:rPr>
          <w:rFonts w:cs="Times New Roman"/>
        </w:rPr>
      </w:pPr>
      <w:r w:rsidRPr="00AD70D8">
        <w:rPr>
          <w:rFonts w:cs="Times New Roman"/>
        </w:rPr>
        <w:t xml:space="preserve">There were </w:t>
      </w:r>
      <w:r w:rsidR="0031305E" w:rsidRPr="00AD70D8">
        <w:rPr>
          <w:rFonts w:cs="Times New Roman"/>
        </w:rPr>
        <w:t>2</w:t>
      </w:r>
      <w:r w:rsidRPr="00AD70D8">
        <w:rPr>
          <w:rFonts w:cs="Times New Roman"/>
          <w:rtl/>
        </w:rPr>
        <w:t xml:space="preserve"> </w:t>
      </w:r>
      <w:r w:rsidRPr="00AD70D8">
        <w:rPr>
          <w:rFonts w:cs="Times New Roman"/>
        </w:rPr>
        <w:t xml:space="preserve">licenses issued for non-residential purposes in Jerusalem Governorate (J2) with an area of </w:t>
      </w:r>
      <w:r w:rsidR="0031305E" w:rsidRPr="00AD70D8">
        <w:rPr>
          <w:rFonts w:cs="Times New Roman"/>
        </w:rPr>
        <w:t>3.3</w:t>
      </w:r>
      <w:r w:rsidRPr="00AD70D8">
        <w:rPr>
          <w:rFonts w:cs="Times New Roman"/>
        </w:rPr>
        <w:t xml:space="preserve"> thousand m</w:t>
      </w:r>
      <w:r w:rsidRPr="00AD70D8">
        <w:rPr>
          <w:rFonts w:cs="Times New Roman"/>
          <w:vertAlign w:val="superscript"/>
        </w:rPr>
        <w:t>2</w:t>
      </w:r>
      <w:r w:rsidRPr="00AD70D8">
        <w:rPr>
          <w:rFonts w:cs="Times New Roman"/>
        </w:rPr>
        <w:t xml:space="preserve"> in 2020.</w:t>
      </w:r>
    </w:p>
    <w:p w:rsidR="008A3E11" w:rsidRPr="00AD70D8" w:rsidRDefault="008A3E11" w:rsidP="005F3B94">
      <w:pPr>
        <w:pStyle w:val="BodyText2"/>
        <w:numPr>
          <w:ilvl w:val="0"/>
          <w:numId w:val="7"/>
        </w:numPr>
        <w:tabs>
          <w:tab w:val="num" w:pos="284"/>
        </w:tabs>
        <w:bidi w:val="0"/>
        <w:ind w:left="284" w:right="0" w:hanging="284"/>
        <w:rPr>
          <w:rFonts w:cs="Times New Roman"/>
        </w:rPr>
      </w:pPr>
      <w:r w:rsidRPr="00AD70D8">
        <w:rPr>
          <w:rFonts w:cs="Times New Roman"/>
        </w:rPr>
        <w:t xml:space="preserve">The output value in </w:t>
      </w:r>
      <w:r w:rsidRPr="00AD70D8">
        <w:rPr>
          <w:rFonts w:asciiTheme="majorBidi" w:hAnsiTheme="majorBidi" w:cstheme="majorBidi"/>
        </w:rPr>
        <w:t xml:space="preserve">construction </w:t>
      </w:r>
      <w:r w:rsidRPr="00AD70D8">
        <w:rPr>
          <w:rFonts w:cs="Times New Roman"/>
        </w:rPr>
        <w:t xml:space="preserve">activities in Jerusalem Governorate was USD </w:t>
      </w:r>
      <w:r w:rsidR="0031305E" w:rsidRPr="00AD70D8">
        <w:rPr>
          <w:rFonts w:cs="Times New Roman"/>
        </w:rPr>
        <w:t>21.8</w:t>
      </w:r>
      <w:r w:rsidRPr="00AD70D8">
        <w:rPr>
          <w:rFonts w:cs="Times New Roman"/>
        </w:rPr>
        <w:t xml:space="preserve"> million in 2019.</w:t>
      </w:r>
    </w:p>
    <w:p w:rsidR="008A3E11" w:rsidRPr="00AD70D8" w:rsidRDefault="008A3E11" w:rsidP="005F3B94">
      <w:pPr>
        <w:pStyle w:val="BodyText2"/>
        <w:numPr>
          <w:ilvl w:val="0"/>
          <w:numId w:val="7"/>
        </w:numPr>
        <w:tabs>
          <w:tab w:val="num" w:pos="284"/>
        </w:tabs>
        <w:bidi w:val="0"/>
        <w:ind w:left="284" w:right="0" w:hanging="284"/>
        <w:rPr>
          <w:rFonts w:asciiTheme="majorBidi" w:hAnsiTheme="majorBidi" w:cstheme="majorBidi"/>
        </w:rPr>
      </w:pPr>
      <w:r w:rsidRPr="00AD70D8">
        <w:rPr>
          <w:rFonts w:cs="Times New Roman"/>
        </w:rPr>
        <w:t>The value added realized by</w:t>
      </w:r>
      <w:r w:rsidRPr="00AD70D8">
        <w:rPr>
          <w:rFonts w:asciiTheme="majorBidi" w:hAnsiTheme="majorBidi" w:cstheme="majorBidi"/>
        </w:rPr>
        <w:t xml:space="preserve"> the construction </w:t>
      </w:r>
      <w:r w:rsidRPr="00AD70D8">
        <w:rPr>
          <w:rFonts w:cs="Times New Roman"/>
        </w:rPr>
        <w:t xml:space="preserve">activities </w:t>
      </w:r>
      <w:r w:rsidRPr="00AD70D8">
        <w:rPr>
          <w:rFonts w:asciiTheme="majorBidi" w:hAnsiTheme="majorBidi" w:cstheme="majorBidi"/>
        </w:rPr>
        <w:t xml:space="preserve">was USD </w:t>
      </w:r>
      <w:r w:rsidR="0031305E" w:rsidRPr="00AD70D8">
        <w:rPr>
          <w:rFonts w:asciiTheme="majorBidi" w:hAnsiTheme="majorBidi" w:cstheme="majorBidi"/>
        </w:rPr>
        <w:t>17.2</w:t>
      </w:r>
      <w:r w:rsidRPr="00AD70D8">
        <w:rPr>
          <w:rFonts w:asciiTheme="majorBidi" w:hAnsiTheme="majorBidi" w:cstheme="majorBidi"/>
        </w:rPr>
        <w:t xml:space="preserve"> million in 2019.</w:t>
      </w:r>
    </w:p>
    <w:p w:rsidR="009D13A2" w:rsidRPr="00AD70D8" w:rsidRDefault="009D13A2" w:rsidP="009D13A2">
      <w:pPr>
        <w:tabs>
          <w:tab w:val="num" w:pos="0"/>
          <w:tab w:val="left" w:pos="284"/>
        </w:tabs>
        <w:jc w:val="lowKashida"/>
        <w:rPr>
          <w:rFonts w:asciiTheme="majorBidi" w:hAnsiTheme="majorBidi" w:cstheme="majorBidi"/>
          <w:b/>
          <w:bCs/>
        </w:rPr>
      </w:pPr>
    </w:p>
    <w:p w:rsidR="00042E6E" w:rsidRPr="005F3B94" w:rsidRDefault="009D13A2"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Industrial Sector</w:t>
      </w:r>
    </w:p>
    <w:p w:rsidR="00F81DF3" w:rsidRPr="00AD70D8" w:rsidRDefault="00F81DF3" w:rsidP="005F3B94">
      <w:pPr>
        <w:pStyle w:val="BodyText2"/>
        <w:numPr>
          <w:ilvl w:val="0"/>
          <w:numId w:val="7"/>
        </w:numPr>
        <w:tabs>
          <w:tab w:val="num" w:pos="284"/>
        </w:tabs>
        <w:bidi w:val="0"/>
        <w:ind w:left="284" w:right="0" w:hanging="284"/>
        <w:rPr>
          <w:rFonts w:cs="Times New Roman"/>
        </w:rPr>
      </w:pPr>
      <w:r w:rsidRPr="00AD70D8">
        <w:rPr>
          <w:rFonts w:cs="Times New Roman"/>
        </w:rPr>
        <w:t xml:space="preserve">The output value of </w:t>
      </w:r>
      <w:r w:rsidRPr="00AD70D8">
        <w:rPr>
          <w:rFonts w:asciiTheme="majorBidi" w:hAnsiTheme="majorBidi" w:cstheme="majorBidi"/>
        </w:rPr>
        <w:t>those</w:t>
      </w:r>
      <w:r w:rsidRPr="00AD70D8">
        <w:rPr>
          <w:rFonts w:cs="Times New Roman"/>
        </w:rPr>
        <w:t xml:space="preserve"> enterprises was USD </w:t>
      </w:r>
      <w:r w:rsidRPr="00AD70D8">
        <w:rPr>
          <w:rFonts w:cs="Times New Roman"/>
          <w:rtl/>
        </w:rPr>
        <w:t xml:space="preserve"> </w:t>
      </w:r>
      <w:r w:rsidRPr="00AD70D8">
        <w:rPr>
          <w:rFonts w:cs="Times New Roman" w:hint="cs"/>
          <w:rtl/>
        </w:rPr>
        <w:t>606.9</w:t>
      </w:r>
      <w:r w:rsidRPr="00AD70D8">
        <w:rPr>
          <w:rFonts w:cs="Times New Roman"/>
        </w:rPr>
        <w:t xml:space="preserve"> million in 2019.</w:t>
      </w:r>
    </w:p>
    <w:p w:rsidR="00F81DF3" w:rsidRPr="00AD70D8" w:rsidRDefault="00F81DF3" w:rsidP="005F3B94">
      <w:pPr>
        <w:pStyle w:val="BodyText2"/>
        <w:numPr>
          <w:ilvl w:val="0"/>
          <w:numId w:val="7"/>
        </w:numPr>
        <w:tabs>
          <w:tab w:val="num" w:pos="284"/>
        </w:tabs>
        <w:bidi w:val="0"/>
        <w:ind w:left="284" w:right="0" w:hanging="284"/>
        <w:rPr>
          <w:rFonts w:asciiTheme="majorBidi" w:hAnsiTheme="majorBidi" w:cstheme="majorBidi"/>
        </w:rPr>
      </w:pPr>
      <w:r w:rsidRPr="00AD70D8">
        <w:rPr>
          <w:rFonts w:cs="Times New Roman"/>
        </w:rPr>
        <w:t>The value added</w:t>
      </w:r>
      <w:r w:rsidRPr="00AD70D8">
        <w:rPr>
          <w:rFonts w:asciiTheme="majorBidi" w:hAnsiTheme="majorBidi" w:cstheme="majorBidi"/>
        </w:rPr>
        <w:t xml:space="preserve"> realized by the industrial sector was USD </w:t>
      </w:r>
      <w:r w:rsidRPr="00AD70D8">
        <w:rPr>
          <w:rFonts w:asciiTheme="majorBidi" w:hAnsiTheme="majorBidi" w:cstheme="majorBidi"/>
          <w:rtl/>
        </w:rPr>
        <w:t xml:space="preserve"> </w:t>
      </w:r>
      <w:r w:rsidRPr="00AD70D8">
        <w:rPr>
          <w:rFonts w:hint="cs"/>
          <w:rtl/>
        </w:rPr>
        <w:t>379.3</w:t>
      </w:r>
      <w:r w:rsidRPr="00AD70D8">
        <w:rPr>
          <w:rFonts w:asciiTheme="majorBidi" w:hAnsiTheme="majorBidi" w:cstheme="majorBidi"/>
        </w:rPr>
        <w:t>million in 2019.</w:t>
      </w:r>
    </w:p>
    <w:p w:rsidR="00F81DF3" w:rsidRPr="00AD70D8" w:rsidRDefault="00F81DF3" w:rsidP="00F81DF3">
      <w:pPr>
        <w:overflowPunct/>
        <w:autoSpaceDE/>
        <w:autoSpaceDN/>
        <w:adjustRightInd/>
        <w:textAlignment w:val="auto"/>
        <w:rPr>
          <w:rFonts w:ascii="Arial" w:hAnsi="Arial" w:cs="Arial"/>
          <w:b/>
          <w:bCs/>
          <w:sz w:val="18"/>
          <w:szCs w:val="18"/>
        </w:rPr>
      </w:pPr>
    </w:p>
    <w:p w:rsidR="00F81DF3" w:rsidRPr="00AD70D8" w:rsidRDefault="00F81DF3" w:rsidP="00F81DF3">
      <w:pPr>
        <w:jc w:val="center"/>
        <w:rPr>
          <w:rFonts w:ascii="Arial" w:hAnsi="Arial" w:cs="Arial"/>
          <w:b/>
          <w:bCs/>
          <w:sz w:val="18"/>
          <w:szCs w:val="18"/>
        </w:rPr>
      </w:pPr>
      <w:r w:rsidRPr="00AD70D8">
        <w:rPr>
          <w:rFonts w:ascii="Arial" w:hAnsi="Arial" w:cs="Arial"/>
          <w:b/>
          <w:bCs/>
          <w:sz w:val="18"/>
          <w:szCs w:val="18"/>
        </w:rPr>
        <w:t>Main Economic Indicators for Industrial Activities in Jerusalem Governorate, 2019</w:t>
      </w:r>
    </w:p>
    <w:p w:rsidR="00F81DF3" w:rsidRPr="00AD70D8" w:rsidRDefault="00F81DF3" w:rsidP="00F81DF3">
      <w:pPr>
        <w:jc w:val="center"/>
        <w:rPr>
          <w:rFonts w:ascii="Arial" w:hAnsi="Arial" w:cs="Arial"/>
          <w:b/>
          <w:bCs/>
          <w:sz w:val="8"/>
          <w:szCs w:val="8"/>
          <w:rtl/>
        </w:rPr>
      </w:pPr>
    </w:p>
    <w:p w:rsidR="00F81DF3" w:rsidRPr="00AD70D8" w:rsidRDefault="00F81DF3" w:rsidP="00F81DF3">
      <w:pPr>
        <w:rPr>
          <w:rFonts w:ascii="Arial" w:hAnsi="Arial" w:cs="Arial"/>
          <w:sz w:val="16"/>
          <w:szCs w:val="16"/>
          <w:rtl/>
        </w:rPr>
      </w:pPr>
      <w:r w:rsidRPr="00AD70D8">
        <w:rPr>
          <w:rFonts w:ascii="Arial" w:hAnsi="Arial" w:cs="Simplified Arabic"/>
          <w:sz w:val="16"/>
          <w:szCs w:val="16"/>
        </w:rPr>
        <w:t xml:space="preserve">    (Value in 1000 USD)</w:t>
      </w:r>
    </w:p>
    <w:p w:rsidR="00F81DF3" w:rsidRPr="00AD70D8" w:rsidRDefault="00F81DF3" w:rsidP="00F81DF3">
      <w:pPr>
        <w:jc w:val="center"/>
        <w:rPr>
          <w:rFonts w:ascii="Arial" w:hAnsi="Arial" w:cs="Arial"/>
          <w:b/>
          <w:bCs/>
          <w:rtl/>
        </w:rPr>
      </w:pPr>
      <w:r w:rsidRPr="00AD70D8">
        <w:rPr>
          <w:rFonts w:ascii="Arial" w:hAnsi="Arial" w:cs="Arial"/>
          <w:b/>
          <w:bCs/>
          <w:noProof/>
          <w:bdr w:val="single" w:sz="4" w:space="0" w:color="auto"/>
          <w:rtl/>
        </w:rPr>
        <w:drawing>
          <wp:inline distT="0" distB="0" distL="0" distR="0" wp14:anchorId="49933D85" wp14:editId="30ABF175">
            <wp:extent cx="4619625" cy="1615044"/>
            <wp:effectExtent l="0" t="0" r="0" b="0"/>
            <wp:docPr id="1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F3B94" w:rsidRDefault="005F3B94" w:rsidP="005F3B94">
      <w:pPr>
        <w:pStyle w:val="BodyTextIndent"/>
        <w:tabs>
          <w:tab w:val="right" w:pos="378"/>
        </w:tabs>
        <w:bidi w:val="0"/>
        <w:ind w:left="210" w:firstLine="0"/>
        <w:jc w:val="both"/>
        <w:rPr>
          <w:b/>
          <w:bCs/>
          <w:sz w:val="22"/>
          <w:szCs w:val="22"/>
        </w:rPr>
      </w:pPr>
    </w:p>
    <w:p w:rsidR="002D5E37" w:rsidRPr="005F3B94" w:rsidRDefault="002D5E37"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 xml:space="preserve">Tourism </w:t>
      </w:r>
    </w:p>
    <w:p w:rsidR="00D824E9" w:rsidRPr="00AD70D8" w:rsidRDefault="00D824E9" w:rsidP="005F3B94">
      <w:pPr>
        <w:pStyle w:val="BodyText2"/>
        <w:numPr>
          <w:ilvl w:val="0"/>
          <w:numId w:val="7"/>
        </w:numPr>
        <w:tabs>
          <w:tab w:val="num" w:pos="284"/>
        </w:tabs>
        <w:bidi w:val="0"/>
        <w:ind w:left="284" w:right="0" w:hanging="284"/>
        <w:rPr>
          <w:rFonts w:cs="Times New Roman"/>
        </w:rPr>
      </w:pPr>
      <w:r w:rsidRPr="00AD70D8">
        <w:rPr>
          <w:rFonts w:cs="Times New Roman"/>
        </w:rPr>
        <w:t xml:space="preserve">There were </w:t>
      </w:r>
      <w:r w:rsidR="00582541" w:rsidRPr="00AD70D8">
        <w:rPr>
          <w:rFonts w:cs="Times New Roman"/>
        </w:rPr>
        <w:t>19</w:t>
      </w:r>
      <w:r w:rsidRPr="00AD70D8">
        <w:rPr>
          <w:rFonts w:cs="Times New Roman"/>
        </w:rPr>
        <w:t xml:space="preserve"> hotels in operation responded to the hotel survey at the end of the year </w:t>
      </w:r>
      <w:r w:rsidR="001F2069">
        <w:rPr>
          <w:rFonts w:cs="Times New Roman"/>
        </w:rPr>
        <w:t>2019</w:t>
      </w:r>
      <w:r w:rsidRPr="00AD70D8">
        <w:rPr>
          <w:rFonts w:cs="Times New Roman"/>
        </w:rPr>
        <w:t xml:space="preserve"> with </w:t>
      </w:r>
      <w:r w:rsidR="00582541" w:rsidRPr="00AD70D8">
        <w:rPr>
          <w:rFonts w:cs="Times New Roman"/>
        </w:rPr>
        <w:t>987</w:t>
      </w:r>
      <w:r w:rsidRPr="00AD70D8">
        <w:rPr>
          <w:rFonts w:cs="Times New Roman"/>
        </w:rPr>
        <w:t xml:space="preserve"> rooms and </w:t>
      </w:r>
      <w:r w:rsidR="00582541" w:rsidRPr="00AD70D8">
        <w:rPr>
          <w:rFonts w:cs="Times New Roman"/>
        </w:rPr>
        <w:t>2,199</w:t>
      </w:r>
      <w:r w:rsidRPr="00AD70D8">
        <w:rPr>
          <w:rFonts w:cs="Times New Roman"/>
        </w:rPr>
        <w:t xml:space="preserve"> beds in Jerusalem Governorate.</w:t>
      </w:r>
    </w:p>
    <w:p w:rsidR="00D824E9" w:rsidRPr="00AD70D8" w:rsidRDefault="00D824E9" w:rsidP="005F3B94">
      <w:pPr>
        <w:pStyle w:val="BodyText2"/>
        <w:numPr>
          <w:ilvl w:val="0"/>
          <w:numId w:val="7"/>
        </w:numPr>
        <w:tabs>
          <w:tab w:val="num" w:pos="284"/>
        </w:tabs>
        <w:bidi w:val="0"/>
        <w:ind w:left="284" w:right="0" w:hanging="284"/>
        <w:rPr>
          <w:rFonts w:cs="Times New Roman"/>
        </w:rPr>
      </w:pPr>
      <w:r w:rsidRPr="00AD70D8">
        <w:rPr>
          <w:rFonts w:cs="Times New Roman"/>
        </w:rPr>
        <w:t xml:space="preserve">Average number of employees in Jerusalem governorate hotels was </w:t>
      </w:r>
      <w:r w:rsidR="00582541" w:rsidRPr="00AD70D8">
        <w:rPr>
          <w:rFonts w:cs="Times New Roman"/>
        </w:rPr>
        <w:t>652</w:t>
      </w:r>
      <w:r w:rsidRPr="00AD70D8">
        <w:rPr>
          <w:rFonts w:cs="Times New Roman"/>
        </w:rPr>
        <w:t xml:space="preserve"> in </w:t>
      </w:r>
      <w:r w:rsidR="001F2069">
        <w:rPr>
          <w:rFonts w:cs="Times New Roman"/>
        </w:rPr>
        <w:t>2019</w:t>
      </w:r>
      <w:r w:rsidRPr="00AD70D8">
        <w:rPr>
          <w:rFonts w:cs="Times New Roman"/>
        </w:rPr>
        <w:t xml:space="preserve">. </w:t>
      </w:r>
    </w:p>
    <w:p w:rsidR="00042E6E" w:rsidRPr="00AD70D8" w:rsidRDefault="00042E6E" w:rsidP="00790D6D">
      <w:pPr>
        <w:jc w:val="lowKashida"/>
        <w:rPr>
          <w:rFonts w:asciiTheme="majorBidi" w:hAnsiTheme="majorBidi" w:cstheme="majorBidi"/>
          <w:b/>
          <w:bCs/>
        </w:rPr>
      </w:pPr>
    </w:p>
    <w:p w:rsidR="00790D6D" w:rsidRPr="005F3B94" w:rsidRDefault="00790D6D"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lastRenderedPageBreak/>
        <w:t xml:space="preserve">Services Sector </w:t>
      </w:r>
    </w:p>
    <w:p w:rsidR="00EA2AB4" w:rsidRPr="00AD70D8" w:rsidRDefault="00EA2AB4" w:rsidP="005F3B94">
      <w:pPr>
        <w:pStyle w:val="BodyText2"/>
        <w:numPr>
          <w:ilvl w:val="0"/>
          <w:numId w:val="7"/>
        </w:numPr>
        <w:tabs>
          <w:tab w:val="clear" w:pos="502"/>
          <w:tab w:val="num" w:pos="284"/>
          <w:tab w:val="num" w:pos="360"/>
          <w:tab w:val="num" w:pos="810"/>
        </w:tabs>
        <w:bidi w:val="0"/>
        <w:ind w:left="284" w:right="0" w:hanging="284"/>
        <w:rPr>
          <w:rFonts w:cs="Times New Roman"/>
        </w:rPr>
      </w:pPr>
      <w:r w:rsidRPr="00AD70D8">
        <w:rPr>
          <w:rFonts w:cs="Times New Roman"/>
        </w:rPr>
        <w:t>There were 2,994 establishments operating</w:t>
      </w:r>
      <w:r w:rsidRPr="00AD70D8">
        <w:rPr>
          <w:rFonts w:cs="Times New Roman"/>
          <w:rtl/>
        </w:rPr>
        <w:t xml:space="preserve"> </w:t>
      </w:r>
      <w:r w:rsidRPr="00AD70D8">
        <w:rPr>
          <w:rFonts w:cs="Times New Roman"/>
        </w:rPr>
        <w:t>in Jerusalem Governorate in 2019.</w:t>
      </w:r>
    </w:p>
    <w:p w:rsidR="00EA2AB4" w:rsidRPr="00AD70D8" w:rsidRDefault="00EA2AB4" w:rsidP="00AB1375">
      <w:pPr>
        <w:pStyle w:val="BodyText2"/>
        <w:numPr>
          <w:ilvl w:val="0"/>
          <w:numId w:val="7"/>
        </w:numPr>
        <w:tabs>
          <w:tab w:val="clear" w:pos="502"/>
          <w:tab w:val="num" w:pos="284"/>
          <w:tab w:val="num" w:pos="360"/>
          <w:tab w:val="num" w:pos="810"/>
        </w:tabs>
        <w:bidi w:val="0"/>
        <w:ind w:left="284" w:right="0" w:hanging="284"/>
        <w:rPr>
          <w:rFonts w:cs="Times New Roman"/>
        </w:rPr>
      </w:pPr>
      <w:r w:rsidRPr="00AD70D8">
        <w:rPr>
          <w:rFonts w:cs="Times New Roman"/>
        </w:rPr>
        <w:t>There was 17,</w:t>
      </w:r>
      <w:r w:rsidR="00AB1375">
        <w:rPr>
          <w:rFonts w:cs="Times New Roman"/>
        </w:rPr>
        <w:t>700</w:t>
      </w:r>
      <w:r w:rsidRPr="00AD70D8">
        <w:rPr>
          <w:rFonts w:cs="Times New Roman"/>
        </w:rPr>
        <w:t xml:space="preserve"> employed persons in this sector in Jerusalem Governorate in 2019.</w:t>
      </w:r>
      <w:r w:rsidRPr="00AD70D8">
        <w:rPr>
          <w:rFonts w:cs="Times New Roman"/>
          <w:rtl/>
        </w:rPr>
        <w:t xml:space="preserve"> </w:t>
      </w:r>
    </w:p>
    <w:p w:rsidR="00EA2AB4" w:rsidRPr="00AD70D8" w:rsidRDefault="00EA2AB4" w:rsidP="005F3B94">
      <w:pPr>
        <w:pStyle w:val="BodyText2"/>
        <w:numPr>
          <w:ilvl w:val="0"/>
          <w:numId w:val="7"/>
        </w:numPr>
        <w:tabs>
          <w:tab w:val="clear" w:pos="502"/>
          <w:tab w:val="num" w:pos="284"/>
          <w:tab w:val="num" w:pos="360"/>
          <w:tab w:val="num" w:pos="810"/>
        </w:tabs>
        <w:bidi w:val="0"/>
        <w:ind w:left="284" w:right="0" w:hanging="284"/>
        <w:rPr>
          <w:rFonts w:cs="Times New Roman"/>
        </w:rPr>
      </w:pPr>
      <w:r w:rsidRPr="00AD70D8">
        <w:rPr>
          <w:rFonts w:cs="Times New Roman"/>
        </w:rPr>
        <w:t>The output value in Jerusalem Governorate was USD 771.8 million in 2019.</w:t>
      </w:r>
    </w:p>
    <w:p w:rsidR="00EA2AB4" w:rsidRPr="00AD70D8" w:rsidRDefault="00EA2AB4" w:rsidP="005F3B94">
      <w:pPr>
        <w:pStyle w:val="BodyText2"/>
        <w:numPr>
          <w:ilvl w:val="0"/>
          <w:numId w:val="7"/>
        </w:numPr>
        <w:tabs>
          <w:tab w:val="clear" w:pos="502"/>
          <w:tab w:val="num" w:pos="284"/>
          <w:tab w:val="num" w:pos="360"/>
          <w:tab w:val="num" w:pos="810"/>
        </w:tabs>
        <w:bidi w:val="0"/>
        <w:ind w:left="284" w:right="0" w:hanging="284"/>
        <w:rPr>
          <w:rFonts w:asciiTheme="majorBidi" w:hAnsiTheme="majorBidi" w:cstheme="majorBidi"/>
        </w:rPr>
      </w:pPr>
      <w:r w:rsidRPr="00AD70D8">
        <w:rPr>
          <w:rFonts w:cs="Times New Roman"/>
        </w:rPr>
        <w:t>The value added</w:t>
      </w:r>
      <w:r w:rsidRPr="00AD70D8">
        <w:rPr>
          <w:rFonts w:asciiTheme="majorBidi" w:hAnsiTheme="majorBidi" w:cstheme="majorBidi"/>
        </w:rPr>
        <w:t xml:space="preserve"> realized by the services sector was USD 577.9 million in 2019.</w:t>
      </w:r>
    </w:p>
    <w:p w:rsidR="005F3B94" w:rsidRPr="00AD70D8" w:rsidRDefault="005F3B94" w:rsidP="00EA2AB4">
      <w:pPr>
        <w:tabs>
          <w:tab w:val="left" w:pos="284"/>
        </w:tabs>
        <w:jc w:val="lowKashida"/>
        <w:rPr>
          <w:rFonts w:asciiTheme="majorBidi" w:hAnsiTheme="majorBidi" w:cstheme="majorBidi"/>
          <w:b/>
          <w:bCs/>
        </w:rPr>
      </w:pPr>
    </w:p>
    <w:p w:rsidR="00EA2AB4" w:rsidRPr="005F3B94" w:rsidRDefault="00EA2AB4" w:rsidP="005F3B94">
      <w:pPr>
        <w:pStyle w:val="BodyTextIndent"/>
        <w:numPr>
          <w:ilvl w:val="0"/>
          <w:numId w:val="21"/>
        </w:numPr>
        <w:tabs>
          <w:tab w:val="right" w:pos="378"/>
        </w:tabs>
        <w:bidi w:val="0"/>
        <w:ind w:left="210" w:hanging="210"/>
        <w:jc w:val="both"/>
        <w:rPr>
          <w:b/>
          <w:bCs/>
          <w:sz w:val="22"/>
          <w:szCs w:val="22"/>
          <w:rtl/>
        </w:rPr>
      </w:pPr>
      <w:r w:rsidRPr="005F3B94">
        <w:rPr>
          <w:b/>
          <w:bCs/>
          <w:sz w:val="22"/>
          <w:szCs w:val="22"/>
        </w:rPr>
        <w:t>Internal Trade</w:t>
      </w:r>
    </w:p>
    <w:p w:rsidR="00EA2AB4" w:rsidRPr="00AD70D8" w:rsidRDefault="00EA2AB4" w:rsidP="00EA2AB4">
      <w:pPr>
        <w:pStyle w:val="ListParagraph"/>
        <w:numPr>
          <w:ilvl w:val="0"/>
          <w:numId w:val="19"/>
        </w:numPr>
        <w:tabs>
          <w:tab w:val="left" w:pos="284"/>
        </w:tabs>
        <w:jc w:val="lowKashida"/>
        <w:rPr>
          <w:rFonts w:asciiTheme="majorBidi" w:hAnsiTheme="majorBidi" w:cstheme="majorBidi"/>
        </w:rPr>
      </w:pPr>
      <w:r w:rsidRPr="00AD70D8">
        <w:rPr>
          <w:rFonts w:asciiTheme="majorBidi" w:hAnsiTheme="majorBidi" w:cstheme="majorBidi"/>
        </w:rPr>
        <w:t>There were 5,127 establishments operating in Jerusalem Governorate in 2019.</w:t>
      </w:r>
    </w:p>
    <w:p w:rsidR="00EA2AB4" w:rsidRPr="00AD70D8" w:rsidRDefault="00EA2AB4" w:rsidP="005F3B94">
      <w:pPr>
        <w:pStyle w:val="ListParagraph"/>
        <w:numPr>
          <w:ilvl w:val="0"/>
          <w:numId w:val="19"/>
        </w:numPr>
        <w:tabs>
          <w:tab w:val="left" w:pos="284"/>
        </w:tabs>
        <w:jc w:val="lowKashida"/>
        <w:rPr>
          <w:rFonts w:asciiTheme="majorBidi" w:hAnsiTheme="majorBidi" w:cstheme="majorBidi"/>
        </w:rPr>
      </w:pPr>
      <w:r w:rsidRPr="00AD70D8">
        <w:rPr>
          <w:rFonts w:asciiTheme="majorBidi" w:hAnsiTheme="majorBidi" w:cstheme="majorBidi"/>
        </w:rPr>
        <w:t xml:space="preserve">There were 12,597 employed persons in </w:t>
      </w:r>
      <w:r w:rsidR="005F3B94" w:rsidRPr="00AD70D8">
        <w:rPr>
          <w:rFonts w:asciiTheme="majorBidi" w:hAnsiTheme="majorBidi" w:cstheme="majorBidi"/>
        </w:rPr>
        <w:t>this activity</w:t>
      </w:r>
      <w:r w:rsidRPr="00AD70D8">
        <w:rPr>
          <w:rFonts w:asciiTheme="majorBidi" w:hAnsiTheme="majorBidi" w:cstheme="majorBidi"/>
        </w:rPr>
        <w:t xml:space="preserve"> in Jerusalem Governorate</w:t>
      </w:r>
      <w:r w:rsidR="005F3B94">
        <w:rPr>
          <w:rFonts w:asciiTheme="majorBidi" w:hAnsiTheme="majorBidi" w:cstheme="majorBidi"/>
        </w:rPr>
        <w:t xml:space="preserve"> </w:t>
      </w:r>
      <w:r w:rsidRPr="00AD70D8">
        <w:rPr>
          <w:rFonts w:asciiTheme="majorBidi" w:hAnsiTheme="majorBidi" w:cstheme="majorBidi"/>
        </w:rPr>
        <w:t xml:space="preserve">in 2019. </w:t>
      </w:r>
    </w:p>
    <w:p w:rsidR="00EA2AB4" w:rsidRPr="00AD70D8" w:rsidRDefault="00EA2AB4" w:rsidP="0027221B">
      <w:pPr>
        <w:pStyle w:val="ListParagraph"/>
        <w:numPr>
          <w:ilvl w:val="0"/>
          <w:numId w:val="19"/>
        </w:numPr>
        <w:tabs>
          <w:tab w:val="left" w:pos="284"/>
        </w:tabs>
        <w:jc w:val="lowKashida"/>
        <w:rPr>
          <w:rFonts w:asciiTheme="majorBidi" w:hAnsiTheme="majorBidi" w:cstheme="majorBidi"/>
        </w:rPr>
      </w:pPr>
      <w:r w:rsidRPr="00AD70D8">
        <w:rPr>
          <w:rFonts w:asciiTheme="majorBidi" w:hAnsiTheme="majorBidi" w:cstheme="majorBidi"/>
        </w:rPr>
        <w:t>The output value in Jerusalem Governorate was USD 753.2</w:t>
      </w:r>
      <w:r w:rsidRPr="00AD70D8">
        <w:rPr>
          <w:rFonts w:asciiTheme="majorBidi" w:hAnsiTheme="majorBidi" w:cstheme="majorBidi" w:hint="cs"/>
          <w:rtl/>
        </w:rPr>
        <w:t xml:space="preserve"> </w:t>
      </w:r>
      <w:r w:rsidRPr="00AD70D8">
        <w:rPr>
          <w:rFonts w:asciiTheme="majorBidi" w:hAnsiTheme="majorBidi" w:cstheme="majorBidi"/>
        </w:rPr>
        <w:t>million in 2019.</w:t>
      </w:r>
    </w:p>
    <w:p w:rsidR="00EA2AB4" w:rsidRPr="00AD70D8" w:rsidRDefault="00EA2AB4" w:rsidP="0027221B">
      <w:pPr>
        <w:pStyle w:val="ListParagraph"/>
        <w:numPr>
          <w:ilvl w:val="0"/>
          <w:numId w:val="19"/>
        </w:numPr>
        <w:tabs>
          <w:tab w:val="left" w:pos="284"/>
        </w:tabs>
        <w:jc w:val="lowKashida"/>
        <w:rPr>
          <w:rFonts w:asciiTheme="majorBidi" w:hAnsiTheme="majorBidi" w:cstheme="majorBidi"/>
          <w:rtl/>
        </w:rPr>
      </w:pPr>
      <w:r w:rsidRPr="00AD70D8">
        <w:rPr>
          <w:rFonts w:asciiTheme="majorBidi" w:hAnsiTheme="majorBidi" w:cstheme="majorBidi"/>
        </w:rPr>
        <w:t>The value added realized by internal trade activities was USD 598.8 million in 2019.</w:t>
      </w:r>
    </w:p>
    <w:p w:rsidR="00EA2AB4" w:rsidRPr="00AD70D8" w:rsidRDefault="00EA2AB4" w:rsidP="00EA2AB4">
      <w:pPr>
        <w:overflowPunct/>
        <w:autoSpaceDE/>
        <w:autoSpaceDN/>
        <w:adjustRightInd/>
        <w:textAlignment w:val="auto"/>
        <w:rPr>
          <w:rFonts w:asciiTheme="majorBidi" w:hAnsiTheme="majorBidi" w:cstheme="majorBidi"/>
          <w:b/>
          <w:bCs/>
        </w:rPr>
      </w:pPr>
    </w:p>
    <w:p w:rsidR="00EA2AB4" w:rsidRPr="005F3B94" w:rsidRDefault="00EA2AB4"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 xml:space="preserve">Registered Foreign Trade </w:t>
      </w:r>
    </w:p>
    <w:p w:rsidR="00EA2AB4" w:rsidRPr="00AD70D8" w:rsidRDefault="00EA2AB4" w:rsidP="005F3B94">
      <w:pPr>
        <w:pStyle w:val="BodyText2"/>
        <w:numPr>
          <w:ilvl w:val="0"/>
          <w:numId w:val="7"/>
        </w:numPr>
        <w:tabs>
          <w:tab w:val="num" w:pos="284"/>
        </w:tabs>
        <w:bidi w:val="0"/>
        <w:ind w:left="284" w:right="0" w:hanging="284"/>
        <w:rPr>
          <w:rFonts w:asciiTheme="majorBidi" w:hAnsiTheme="majorBidi" w:cstheme="majorBidi"/>
        </w:rPr>
      </w:pPr>
      <w:r w:rsidRPr="00AD70D8">
        <w:rPr>
          <w:rFonts w:cs="Times New Roman"/>
        </w:rPr>
        <w:t xml:space="preserve">The total value of registered imports of goods to Jerusalem Governorate </w:t>
      </w:r>
      <w:r w:rsidR="00900FED">
        <w:rPr>
          <w:rFonts w:cs="Times New Roman"/>
        </w:rPr>
        <w:t>de</w:t>
      </w:r>
      <w:r w:rsidRPr="00AD70D8">
        <w:rPr>
          <w:rFonts w:cs="Times New Roman"/>
        </w:rPr>
        <w:t xml:space="preserve">creased in </w:t>
      </w:r>
      <w:r w:rsidRPr="00AD70D8">
        <w:rPr>
          <w:rFonts w:asciiTheme="majorBidi" w:hAnsiTheme="majorBidi" w:cstheme="majorBidi"/>
        </w:rPr>
        <w:t xml:space="preserve">2019 </w:t>
      </w:r>
      <w:r w:rsidRPr="00AD70D8">
        <w:rPr>
          <w:rFonts w:cs="Times New Roman"/>
        </w:rPr>
        <w:t xml:space="preserve">by 12% compared to 2018 and reached USD 349.7 million. </w:t>
      </w:r>
    </w:p>
    <w:p w:rsidR="00EA2AB4" w:rsidRPr="00AD70D8" w:rsidRDefault="00EA2AB4" w:rsidP="005F3B94">
      <w:pPr>
        <w:pStyle w:val="BodyText2"/>
        <w:numPr>
          <w:ilvl w:val="0"/>
          <w:numId w:val="7"/>
        </w:numPr>
        <w:tabs>
          <w:tab w:val="num" w:pos="284"/>
        </w:tabs>
        <w:bidi w:val="0"/>
        <w:ind w:left="284" w:right="0" w:hanging="284"/>
        <w:rPr>
          <w:rFonts w:cs="Times New Roman"/>
        </w:rPr>
      </w:pPr>
      <w:r w:rsidRPr="00AD70D8">
        <w:rPr>
          <w:rFonts w:cs="Times New Roman"/>
        </w:rPr>
        <w:t xml:space="preserve">The total value of registered exports of goods from Jerusalem Governorate decreased in </w:t>
      </w:r>
      <w:r w:rsidRPr="00AD70D8">
        <w:rPr>
          <w:rFonts w:asciiTheme="majorBidi" w:hAnsiTheme="majorBidi" w:cstheme="majorBidi"/>
        </w:rPr>
        <w:t>2019</w:t>
      </w:r>
      <w:r w:rsidRPr="00AD70D8">
        <w:rPr>
          <w:rFonts w:cs="Times New Roman"/>
        </w:rPr>
        <w:t xml:space="preserve"> by 38% compared to 2018 and reached USD 56.9 million.</w:t>
      </w:r>
    </w:p>
    <w:p w:rsidR="007512B0" w:rsidRPr="00AD70D8" w:rsidRDefault="007512B0" w:rsidP="00A14782">
      <w:pPr>
        <w:tabs>
          <w:tab w:val="num" w:pos="0"/>
          <w:tab w:val="left" w:pos="284"/>
        </w:tabs>
        <w:jc w:val="lowKashida"/>
        <w:rPr>
          <w:rFonts w:asciiTheme="majorBidi" w:hAnsiTheme="majorBidi" w:cstheme="majorBidi"/>
          <w:b/>
          <w:bCs/>
        </w:rPr>
      </w:pPr>
    </w:p>
    <w:p w:rsidR="002F57CD" w:rsidRPr="005F3B94" w:rsidRDefault="002F57CD" w:rsidP="005F3B94">
      <w:pPr>
        <w:pStyle w:val="BodyTextIndent"/>
        <w:numPr>
          <w:ilvl w:val="0"/>
          <w:numId w:val="21"/>
        </w:numPr>
        <w:tabs>
          <w:tab w:val="right" w:pos="378"/>
        </w:tabs>
        <w:bidi w:val="0"/>
        <w:ind w:left="210" w:hanging="210"/>
        <w:jc w:val="both"/>
        <w:rPr>
          <w:b/>
          <w:bCs/>
          <w:sz w:val="22"/>
          <w:szCs w:val="22"/>
        </w:rPr>
      </w:pPr>
      <w:r w:rsidRPr="005F3B94">
        <w:rPr>
          <w:b/>
          <w:bCs/>
          <w:sz w:val="22"/>
          <w:szCs w:val="22"/>
        </w:rPr>
        <w:t xml:space="preserve">Israeli Violations </w:t>
      </w:r>
    </w:p>
    <w:p w:rsidR="00324887" w:rsidRPr="00AD70D8" w:rsidRDefault="00324887" w:rsidP="005F3B94">
      <w:pPr>
        <w:pStyle w:val="BodyText2"/>
        <w:numPr>
          <w:ilvl w:val="0"/>
          <w:numId w:val="7"/>
        </w:numPr>
        <w:tabs>
          <w:tab w:val="num" w:pos="284"/>
        </w:tabs>
        <w:bidi w:val="0"/>
        <w:ind w:left="284" w:right="0" w:hanging="284"/>
        <w:rPr>
          <w:rFonts w:cs="Times New Roman"/>
        </w:rPr>
      </w:pPr>
      <w:r w:rsidRPr="00AD70D8">
        <w:rPr>
          <w:rFonts w:cs="Times New Roman"/>
        </w:rPr>
        <w:t xml:space="preserve">Number of Settlements constructed on confiscated land in Jerusalem Governorate 26 settlements, 16 of them were in (J1) in </w:t>
      </w:r>
      <w:r w:rsidRPr="00AD70D8">
        <w:rPr>
          <w:rFonts w:cs="Times New Roman" w:hint="cs"/>
          <w:rtl/>
        </w:rPr>
        <w:t>2019</w:t>
      </w:r>
      <w:r w:rsidRPr="00AD70D8">
        <w:rPr>
          <w:rFonts w:cs="Times New Roman"/>
        </w:rPr>
        <w:t>.</w:t>
      </w:r>
    </w:p>
    <w:p w:rsidR="00324887" w:rsidRPr="00AD70D8" w:rsidRDefault="00324887" w:rsidP="005F3B94">
      <w:pPr>
        <w:pStyle w:val="BodyText2"/>
        <w:numPr>
          <w:ilvl w:val="0"/>
          <w:numId w:val="7"/>
        </w:numPr>
        <w:tabs>
          <w:tab w:val="num" w:pos="284"/>
        </w:tabs>
        <w:bidi w:val="0"/>
        <w:ind w:left="284" w:right="0" w:hanging="284"/>
        <w:rPr>
          <w:rFonts w:cs="Times New Roman"/>
        </w:rPr>
      </w:pPr>
      <w:r w:rsidRPr="00AD70D8">
        <w:rPr>
          <w:rFonts w:cs="Times New Roman"/>
        </w:rPr>
        <w:t xml:space="preserve">In </w:t>
      </w:r>
      <w:r w:rsidRPr="00AD70D8">
        <w:rPr>
          <w:rFonts w:cs="Times New Roman" w:hint="cs"/>
          <w:rtl/>
        </w:rPr>
        <w:t>2019</w:t>
      </w:r>
      <w:r w:rsidRPr="00AD70D8">
        <w:rPr>
          <w:rFonts w:cs="Times New Roman"/>
        </w:rPr>
        <w:t xml:space="preserve">, around </w:t>
      </w:r>
      <w:r w:rsidRPr="00AD70D8">
        <w:rPr>
          <w:rFonts w:cs="Times New Roman" w:hint="cs"/>
          <w:rtl/>
        </w:rPr>
        <w:t>316</w:t>
      </w:r>
      <w:r w:rsidRPr="00AD70D8">
        <w:rPr>
          <w:rFonts w:cs="Times New Roman"/>
        </w:rPr>
        <w:t>,</w:t>
      </w:r>
      <w:r w:rsidRPr="00AD70D8">
        <w:rPr>
          <w:rFonts w:cs="Times New Roman" w:hint="cs"/>
          <w:rtl/>
        </w:rPr>
        <w:t>176</w:t>
      </w:r>
      <w:r w:rsidRPr="00AD70D8">
        <w:rPr>
          <w:rFonts w:cs="Times New Roman"/>
        </w:rPr>
        <w:t xml:space="preserve"> settlers in the settlements in Jerusalem Governorate and </w:t>
      </w:r>
      <w:r w:rsidRPr="00AD70D8">
        <w:rPr>
          <w:rFonts w:cs="Times New Roman" w:hint="cs"/>
          <w:rtl/>
        </w:rPr>
        <w:t>232</w:t>
      </w:r>
      <w:r w:rsidRPr="00AD70D8">
        <w:rPr>
          <w:rFonts w:cs="Times New Roman"/>
        </w:rPr>
        <w:t>,</w:t>
      </w:r>
      <w:r w:rsidRPr="00AD70D8">
        <w:rPr>
          <w:rFonts w:cs="Times New Roman" w:hint="cs"/>
          <w:rtl/>
        </w:rPr>
        <w:t>093</w:t>
      </w:r>
      <w:r w:rsidRPr="00AD70D8">
        <w:rPr>
          <w:rFonts w:cs="Times New Roman"/>
        </w:rPr>
        <w:t xml:space="preserve"> of them were in (J1).</w:t>
      </w:r>
    </w:p>
    <w:p w:rsidR="00FA788E" w:rsidRPr="00AD70D8" w:rsidRDefault="00AA2796" w:rsidP="00AA2796">
      <w:pPr>
        <w:pStyle w:val="BodyText2"/>
        <w:numPr>
          <w:ilvl w:val="0"/>
          <w:numId w:val="7"/>
        </w:numPr>
        <w:tabs>
          <w:tab w:val="num" w:pos="284"/>
        </w:tabs>
        <w:bidi w:val="0"/>
        <w:ind w:left="284" w:right="0" w:hanging="284"/>
        <w:rPr>
          <w:rFonts w:cs="Times New Roman"/>
        </w:rPr>
      </w:pPr>
      <w:r w:rsidRPr="00AA2796">
        <w:rPr>
          <w:rFonts w:cs="Times New Roman"/>
        </w:rPr>
        <w:t>14,701</w:t>
      </w:r>
      <w:r>
        <w:rPr>
          <w:rFonts w:cs="Times New Roman"/>
        </w:rPr>
        <w:t xml:space="preserve"> </w:t>
      </w:r>
      <w:r w:rsidR="00FA788E" w:rsidRPr="00AD70D8">
        <w:rPr>
          <w:rFonts w:cs="Times New Roman"/>
        </w:rPr>
        <w:t>Jerusalem ID</w:t>
      </w:r>
      <w:r w:rsidR="00467BF6" w:rsidRPr="00AD70D8">
        <w:rPr>
          <w:rFonts w:cs="Times New Roman"/>
        </w:rPr>
        <w:t>'s</w:t>
      </w:r>
      <w:r w:rsidR="00FA788E" w:rsidRPr="00AD70D8">
        <w:rPr>
          <w:rFonts w:cs="Times New Roman"/>
        </w:rPr>
        <w:t xml:space="preserve"> cards were confiscated between</w:t>
      </w:r>
      <w:r w:rsidR="00FA788E" w:rsidRPr="00AD70D8">
        <w:rPr>
          <w:rFonts w:cs="Times New Roman" w:hint="cs"/>
          <w:rtl/>
        </w:rPr>
        <w:t xml:space="preserve"> </w:t>
      </w:r>
      <w:r w:rsidR="00FA788E" w:rsidRPr="00AD70D8">
        <w:rPr>
          <w:rFonts w:cs="Times New Roman"/>
        </w:rPr>
        <w:t xml:space="preserve">1967 and </w:t>
      </w:r>
      <w:r>
        <w:rPr>
          <w:rFonts w:cs="Times New Roman"/>
        </w:rPr>
        <w:t>2020</w:t>
      </w:r>
      <w:r w:rsidR="00FA788E" w:rsidRPr="00AD70D8">
        <w:rPr>
          <w:rFonts w:cs="Times New Roman"/>
        </w:rPr>
        <w:t>.</w:t>
      </w:r>
    </w:p>
    <w:p w:rsidR="00FA788E" w:rsidRPr="00AA2796" w:rsidRDefault="00AA2796" w:rsidP="00AA2796">
      <w:pPr>
        <w:pStyle w:val="BodyText2"/>
        <w:numPr>
          <w:ilvl w:val="0"/>
          <w:numId w:val="7"/>
        </w:numPr>
        <w:tabs>
          <w:tab w:val="num" w:pos="284"/>
        </w:tabs>
        <w:bidi w:val="0"/>
        <w:ind w:left="284" w:right="0" w:hanging="284"/>
        <w:rPr>
          <w:rFonts w:cs="Times New Roman"/>
        </w:rPr>
      </w:pPr>
      <w:r>
        <w:rPr>
          <w:rFonts w:cs="Times New Roman" w:hint="cs"/>
          <w:rtl/>
        </w:rPr>
        <w:t>2020</w:t>
      </w:r>
      <w:r w:rsidR="00FA788E" w:rsidRPr="00AD70D8">
        <w:rPr>
          <w:rFonts w:cs="Times New Roman"/>
        </w:rPr>
        <w:t>, the Israeli authorities</w:t>
      </w:r>
      <w:r w:rsidR="00FA788E" w:rsidRPr="00AA2796">
        <w:rPr>
          <w:rFonts w:cs="Times New Roman"/>
        </w:rPr>
        <w:t xml:space="preserve"> demolished</w:t>
      </w:r>
      <w:r w:rsidRPr="00AA2796">
        <w:rPr>
          <w:rFonts w:cs="Times New Roman"/>
        </w:rPr>
        <w:t xml:space="preserve"> 165 buildings </w:t>
      </w:r>
      <w:r w:rsidR="00FA788E" w:rsidRPr="00AA2796">
        <w:rPr>
          <w:rFonts w:cs="Times New Roman"/>
        </w:rPr>
        <w:t xml:space="preserve">in Jerusalem </w:t>
      </w:r>
      <w:r w:rsidR="00000F4F" w:rsidRPr="00AA2796">
        <w:rPr>
          <w:rFonts w:cs="Times New Roman"/>
        </w:rPr>
        <w:t>Governorate</w:t>
      </w:r>
      <w:r w:rsidRPr="00AA2796">
        <w:rPr>
          <w:rFonts w:cs="Times New Roman"/>
        </w:rPr>
        <w:t xml:space="preserve"> (121 residential buildings, 44 nonresidential buildings)</w:t>
      </w:r>
      <w:r w:rsidR="00FA788E" w:rsidRPr="00AA2796">
        <w:rPr>
          <w:rFonts w:cs="Times New Roman"/>
        </w:rPr>
        <w:t>.</w:t>
      </w:r>
    </w:p>
    <w:p w:rsidR="00FF7108" w:rsidRPr="00AD70D8" w:rsidRDefault="00FF7108" w:rsidP="00796931">
      <w:pPr>
        <w:pStyle w:val="ListParagraph"/>
        <w:rPr>
          <w:sz w:val="10"/>
          <w:szCs w:val="10"/>
        </w:rPr>
      </w:pPr>
    </w:p>
    <w:p w:rsidR="00793437" w:rsidRPr="00AD70D8" w:rsidRDefault="00793437" w:rsidP="005F3742">
      <w:pPr>
        <w:pStyle w:val="BodyText2"/>
        <w:tabs>
          <w:tab w:val="left" w:pos="0"/>
        </w:tabs>
        <w:bidi w:val="0"/>
        <w:jc w:val="center"/>
        <w:rPr>
          <w:b/>
          <w:bCs/>
        </w:rPr>
      </w:pPr>
    </w:p>
    <w:tbl>
      <w:tblPr>
        <w:tblStyle w:val="TableGrid"/>
        <w:tblW w:w="0" w:type="auto"/>
        <w:tblLook w:val="04A0" w:firstRow="1" w:lastRow="0" w:firstColumn="1" w:lastColumn="0" w:noHBand="0" w:noVBand="1"/>
      </w:tblPr>
      <w:tblGrid>
        <w:gridCol w:w="7587"/>
      </w:tblGrid>
      <w:tr w:rsidR="005F3B94" w:rsidRPr="00AD70D8" w:rsidTr="005F3B94">
        <w:tc>
          <w:tcPr>
            <w:tcW w:w="7587" w:type="dxa"/>
          </w:tcPr>
          <w:p w:rsidR="005F3B94" w:rsidRPr="00AD70D8" w:rsidRDefault="005F3B94" w:rsidP="00735658">
            <w:pPr>
              <w:pStyle w:val="BodyText2"/>
              <w:tabs>
                <w:tab w:val="left" w:pos="0"/>
              </w:tabs>
              <w:bidi w:val="0"/>
              <w:jc w:val="center"/>
              <w:rPr>
                <w:b/>
                <w:bCs/>
              </w:rPr>
            </w:pPr>
            <w:r w:rsidRPr="005F3B94">
              <w:rPr>
                <w:b/>
                <w:bCs/>
                <w:noProof/>
              </w:rPr>
              <w:drawing>
                <wp:inline distT="0" distB="0" distL="0" distR="0">
                  <wp:extent cx="4678951" cy="2565070"/>
                  <wp:effectExtent l="0" t="0" r="0" b="0"/>
                  <wp:docPr id="12" name="Picture 12" descr="G:\كتاب القدس الاحصائي السنوي المفرغ2021\خرائط\Settlers_Num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كتاب القدس الاحصائي السنوي المفرغ2021\خرائط\Settlers_Num_En.pn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3625" b="22392"/>
                          <a:stretch/>
                        </pic:blipFill>
                        <pic:spPr bwMode="auto">
                          <a:xfrm>
                            <a:off x="0" y="0"/>
                            <a:ext cx="4701790" cy="2577590"/>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B346C8" w:rsidRPr="00AD70D8" w:rsidRDefault="00B346C8" w:rsidP="00796931">
      <w:pPr>
        <w:overflowPunct/>
        <w:autoSpaceDE/>
        <w:autoSpaceDN/>
        <w:adjustRightInd/>
        <w:textAlignment w:val="auto"/>
        <w:rPr>
          <w:rFonts w:cs="Simplified Arabic"/>
          <w:b/>
          <w:bCs/>
        </w:rPr>
      </w:pPr>
    </w:p>
    <w:p w:rsidR="00B346C8" w:rsidRPr="00AD70D8" w:rsidRDefault="00B346C8" w:rsidP="00796931">
      <w:pPr>
        <w:overflowPunct/>
        <w:autoSpaceDE/>
        <w:autoSpaceDN/>
        <w:adjustRightInd/>
        <w:textAlignment w:val="auto"/>
        <w:rPr>
          <w:rFonts w:cs="Simplified Arabic"/>
          <w:b/>
          <w:bCs/>
        </w:rPr>
      </w:pPr>
    </w:p>
    <w:sectPr w:rsidR="00B346C8" w:rsidRPr="00AD70D8" w:rsidSect="00A52BFB">
      <w:headerReference w:type="default" r:id="rId22"/>
      <w:footerReference w:type="even" r:id="rId23"/>
      <w:footerReference w:type="default" r:id="rId24"/>
      <w:endnotePr>
        <w:numFmt w:val="lowerLetter"/>
      </w:endnotePr>
      <w:type w:val="continuous"/>
      <w:pgSz w:w="9639" w:h="13608" w:code="9"/>
      <w:pgMar w:top="1134" w:right="1134" w:bottom="1134" w:left="1134" w:header="567" w:footer="567" w:gutter="0"/>
      <w:pgNumType w:start="2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D31" w:rsidRDefault="00882D31">
      <w:r>
        <w:separator/>
      </w:r>
    </w:p>
  </w:endnote>
  <w:endnote w:type="continuationSeparator" w:id="0">
    <w:p w:rsidR="00882D31" w:rsidRDefault="0088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raditional Arabic">
    <w:altName w:val="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D60" w:rsidRDefault="007B6502">
    <w:pPr>
      <w:pStyle w:val="Footer"/>
      <w:framePr w:wrap="around" w:vAnchor="text" w:hAnchor="margin" w:xAlign="center" w:y="1"/>
      <w:rPr>
        <w:rStyle w:val="PageNumber"/>
      </w:rPr>
    </w:pPr>
    <w:r>
      <w:rPr>
        <w:rStyle w:val="PageNumber"/>
      </w:rPr>
      <w:fldChar w:fldCharType="begin"/>
    </w:r>
    <w:r w:rsidR="007A5D60">
      <w:rPr>
        <w:rStyle w:val="PageNumber"/>
      </w:rPr>
      <w:instrText xml:space="preserve">PAGE  </w:instrText>
    </w:r>
    <w:r>
      <w:rPr>
        <w:rStyle w:val="PageNumber"/>
      </w:rPr>
      <w:fldChar w:fldCharType="end"/>
    </w:r>
  </w:p>
  <w:p w:rsidR="007A5D60" w:rsidRDefault="007A5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D60" w:rsidRDefault="007A5D60">
    <w:pPr>
      <w:pStyle w:val="Footer"/>
      <w:framePr w:wrap="around" w:vAnchor="text" w:hAnchor="margin" w:xAlign="center" w:y="1"/>
      <w:jc w:val="center"/>
      <w:rPr>
        <w:rStyle w:val="PageNumber"/>
        <w:sz w:val="16"/>
        <w:szCs w:val="16"/>
      </w:rPr>
    </w:pPr>
    <w:r>
      <w:rPr>
        <w:rStyle w:val="PageNumber"/>
        <w:sz w:val="16"/>
        <w:szCs w:val="16"/>
      </w:rPr>
      <w:t>[</w:t>
    </w:r>
    <w:r w:rsidR="007B6502">
      <w:rPr>
        <w:rStyle w:val="PageNumber"/>
        <w:sz w:val="16"/>
        <w:szCs w:val="16"/>
      </w:rPr>
      <w:fldChar w:fldCharType="begin"/>
    </w:r>
    <w:r>
      <w:rPr>
        <w:rStyle w:val="PageNumber"/>
        <w:sz w:val="16"/>
        <w:szCs w:val="16"/>
      </w:rPr>
      <w:instrText xml:space="preserve">PAGE  </w:instrText>
    </w:r>
    <w:r w:rsidR="007B6502">
      <w:rPr>
        <w:rStyle w:val="PageNumber"/>
        <w:sz w:val="16"/>
        <w:szCs w:val="16"/>
      </w:rPr>
      <w:fldChar w:fldCharType="separate"/>
    </w:r>
    <w:r w:rsidR="006604E9">
      <w:rPr>
        <w:rStyle w:val="PageNumber"/>
        <w:noProof/>
        <w:sz w:val="16"/>
        <w:szCs w:val="16"/>
      </w:rPr>
      <w:t>26</w:t>
    </w:r>
    <w:r w:rsidR="007B6502">
      <w:rPr>
        <w:rStyle w:val="PageNumber"/>
        <w:sz w:val="16"/>
        <w:szCs w:val="16"/>
      </w:rPr>
      <w:fldChar w:fldCharType="end"/>
    </w:r>
    <w:r>
      <w:rPr>
        <w:rStyle w:val="PageNumber"/>
        <w:sz w:val="16"/>
        <w:szCs w:val="16"/>
      </w:rPr>
      <w:t>]</w:t>
    </w:r>
  </w:p>
  <w:p w:rsidR="007A5D60" w:rsidRPr="00884C07" w:rsidRDefault="007A5D60">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D31" w:rsidRDefault="00882D31">
      <w:r>
        <w:separator/>
      </w:r>
    </w:p>
  </w:footnote>
  <w:footnote w:type="continuationSeparator" w:id="0">
    <w:p w:rsidR="00882D31" w:rsidRDefault="00882D31">
      <w:r>
        <w:continuationSeparator/>
      </w:r>
    </w:p>
  </w:footnote>
  <w:footnote w:id="1">
    <w:p w:rsidR="00A33500" w:rsidRPr="002A66D1" w:rsidRDefault="007A5D60" w:rsidP="00A33500">
      <w:pPr>
        <w:pStyle w:val="FootnoteText"/>
        <w:bidi w:val="0"/>
        <w:rPr>
          <w:sz w:val="12"/>
          <w:szCs w:val="12"/>
          <w:rtl/>
        </w:rPr>
      </w:pPr>
      <w:r w:rsidRPr="008643D6">
        <w:rPr>
          <w:rFonts w:cs="Simplified Arabic" w:hint="cs"/>
          <w:color w:val="000000" w:themeColor="text1"/>
          <w:sz w:val="16"/>
          <w:szCs w:val="16"/>
          <w:vertAlign w:val="superscript"/>
          <w:rtl/>
        </w:rPr>
        <w:t xml:space="preserve">1 </w:t>
      </w:r>
      <w:r w:rsidR="00A33500" w:rsidRPr="002A66D1">
        <w:rPr>
          <w:sz w:val="12"/>
          <w:szCs w:val="12"/>
        </w:rPr>
        <w:t>Note</w:t>
      </w:r>
      <w:r w:rsidR="00A33500">
        <w:rPr>
          <w:sz w:val="12"/>
          <w:szCs w:val="12"/>
        </w:rPr>
        <w:t>s</w:t>
      </w:r>
      <w:r w:rsidR="00A33500" w:rsidRPr="002A66D1">
        <w:rPr>
          <w:sz w:val="12"/>
          <w:szCs w:val="12"/>
        </w:rPr>
        <w:t>:</w:t>
      </w:r>
    </w:p>
    <w:p w:rsidR="00A33500" w:rsidRPr="002A66D1" w:rsidRDefault="00A33500" w:rsidP="0098497D">
      <w:pPr>
        <w:pStyle w:val="FootnoteText"/>
        <w:numPr>
          <w:ilvl w:val="0"/>
          <w:numId w:val="16"/>
        </w:numPr>
        <w:bidi w:val="0"/>
        <w:ind w:left="476" w:hanging="116"/>
        <w:rPr>
          <w:sz w:val="12"/>
          <w:szCs w:val="12"/>
          <w:rtl/>
        </w:rPr>
      </w:pPr>
      <w:r w:rsidRPr="002A66D1">
        <w:rPr>
          <w:sz w:val="12"/>
          <w:szCs w:val="12"/>
        </w:rPr>
        <w:t>Data excludes Municipality and Culture Committee Schools in Jerusalem.</w:t>
      </w:r>
    </w:p>
    <w:p w:rsidR="007A5D60" w:rsidRPr="0098497D" w:rsidRDefault="00A33500" w:rsidP="001819DB">
      <w:pPr>
        <w:pStyle w:val="FootnoteText"/>
        <w:numPr>
          <w:ilvl w:val="0"/>
          <w:numId w:val="16"/>
        </w:numPr>
        <w:bidi w:val="0"/>
        <w:ind w:left="476" w:hanging="116"/>
        <w:rPr>
          <w:sz w:val="12"/>
          <w:szCs w:val="12"/>
        </w:rPr>
      </w:pPr>
      <w:r w:rsidRPr="002A66D1">
        <w:rPr>
          <w:sz w:val="12"/>
          <w:szCs w:val="12"/>
        </w:rPr>
        <w:t xml:space="preserve">Data for the academic year </w:t>
      </w:r>
      <w:r w:rsidR="001819DB">
        <w:rPr>
          <w:sz w:val="12"/>
          <w:szCs w:val="12"/>
        </w:rPr>
        <w:t>2020</w:t>
      </w:r>
      <w:r w:rsidRPr="002A66D1">
        <w:rPr>
          <w:sz w:val="12"/>
          <w:szCs w:val="12"/>
        </w:rPr>
        <w:t>/</w:t>
      </w:r>
      <w:r w:rsidR="001819DB">
        <w:rPr>
          <w:sz w:val="12"/>
          <w:szCs w:val="12"/>
        </w:rPr>
        <w:t>2021</w:t>
      </w:r>
      <w:r w:rsidRPr="002A66D1">
        <w:rPr>
          <w:sz w:val="12"/>
          <w:szCs w:val="12"/>
        </w:rPr>
        <w:t xml:space="preserve"> are preliminary data</w:t>
      </w:r>
      <w:r>
        <w:rPr>
          <w:sz w:val="12"/>
          <w:szCs w:val="12"/>
        </w:rPr>
        <w:t>.</w:t>
      </w:r>
      <w:r w:rsidR="007A5D60" w:rsidRPr="0098497D">
        <w:rPr>
          <w:rFonts w:cs="Times New Roman"/>
          <w:sz w:val="16"/>
          <w:szCs w:val="16"/>
        </w:rPr>
        <w:tab/>
      </w:r>
    </w:p>
  </w:footnote>
  <w:footnote w:id="2">
    <w:p w:rsidR="0098497D" w:rsidRDefault="0098497D" w:rsidP="0098497D">
      <w:pPr>
        <w:pStyle w:val="FootnoteText"/>
        <w:bidi w:val="0"/>
        <w:ind w:left="140" w:hanging="140"/>
      </w:pPr>
      <w:r>
        <w:rPr>
          <w:rStyle w:val="FootnoteReference"/>
        </w:rPr>
        <w:footnoteRef/>
      </w:r>
      <w:r>
        <w:rPr>
          <w:rtl/>
        </w:rPr>
        <w:t xml:space="preserve"> </w:t>
      </w:r>
      <w:r w:rsidRPr="0098497D">
        <w:rPr>
          <w:sz w:val="12"/>
          <w:szCs w:val="12"/>
        </w:rPr>
        <w:t>Universities include traditional universities and university colleges, and the number of students represents all students affiliated with these universities from different governorates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D60" w:rsidRPr="008D4717" w:rsidRDefault="007A5D60" w:rsidP="00403EC1">
    <w:pPr>
      <w:pStyle w:val="Heading6"/>
      <w:bidi w:val="0"/>
      <w:rPr>
        <w:b w:val="0"/>
        <w:bCs w:val="0"/>
        <w:sz w:val="16"/>
        <w:szCs w:val="16"/>
      </w:rPr>
    </w:pPr>
    <w:r w:rsidRPr="008D4717">
      <w:rPr>
        <w:b w:val="0"/>
        <w:bCs w:val="0"/>
        <w:sz w:val="16"/>
        <w:szCs w:val="16"/>
      </w:rPr>
      <w:t>PCBS: Jerusalem Statistical Yearbook 20</w:t>
    </w:r>
    <w:r>
      <w:rPr>
        <w:b w:val="0"/>
        <w:bCs w:val="0"/>
        <w:sz w:val="16"/>
        <w:szCs w:val="16"/>
      </w:rPr>
      <w:t>2</w:t>
    </w:r>
    <w:r w:rsidR="00403EC1">
      <w:rPr>
        <w:b w:val="0"/>
        <w:bCs w:val="0"/>
        <w:sz w:val="16"/>
        <w:szCs w:val="16"/>
      </w:rPr>
      <w:t>1</w:t>
    </w:r>
    <w:r w:rsidRPr="008D4717">
      <w:rPr>
        <w:b w:val="0"/>
        <w:bCs w:val="0"/>
        <w:sz w:val="16"/>
        <w:szCs w:val="16"/>
      </w:rPr>
      <w:t xml:space="preserve">                                                                                 Summary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20501"/>
    <w:multiLevelType w:val="hybridMultilevel"/>
    <w:tmpl w:val="67A0F15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21FD297F"/>
    <w:multiLevelType w:val="hybridMultilevel"/>
    <w:tmpl w:val="610472AA"/>
    <w:lvl w:ilvl="0" w:tplc="4184D1AA">
      <w:start w:val="1"/>
      <w:numFmt w:val="bullet"/>
      <w:lvlText w:val=""/>
      <w:lvlJc w:val="left"/>
      <w:pPr>
        <w:ind w:left="720" w:hanging="360"/>
      </w:pPr>
      <w:rPr>
        <w:rFonts w:ascii="Symbol" w:hAnsi="Symbol" w:hint="default"/>
        <w:sz w:val="12"/>
        <w:szCs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61CFD"/>
    <w:multiLevelType w:val="multilevel"/>
    <w:tmpl w:val="2AA430B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148604A"/>
    <w:multiLevelType w:val="hybridMultilevel"/>
    <w:tmpl w:val="80140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E54C27"/>
    <w:multiLevelType w:val="hybridMultilevel"/>
    <w:tmpl w:val="83B2D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B68D0"/>
    <w:multiLevelType w:val="hybridMultilevel"/>
    <w:tmpl w:val="638AFE44"/>
    <w:lvl w:ilvl="0" w:tplc="0409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080"/>
        </w:tabs>
        <w:ind w:left="1080" w:right="720" w:hanging="360"/>
      </w:pPr>
      <w:rPr>
        <w:rFonts w:ascii="Courier New" w:hAnsi="Courier New" w:hint="default"/>
      </w:rPr>
    </w:lvl>
    <w:lvl w:ilvl="2" w:tplc="04090005" w:tentative="1">
      <w:start w:val="1"/>
      <w:numFmt w:val="bullet"/>
      <w:lvlText w:val=""/>
      <w:lvlJc w:val="left"/>
      <w:pPr>
        <w:tabs>
          <w:tab w:val="num" w:pos="1800"/>
        </w:tabs>
        <w:ind w:left="1800" w:right="1440" w:hanging="360"/>
      </w:pPr>
      <w:rPr>
        <w:rFonts w:ascii="Wingdings" w:hAnsi="Wingdings" w:hint="default"/>
      </w:rPr>
    </w:lvl>
    <w:lvl w:ilvl="3" w:tplc="04090001" w:tentative="1">
      <w:start w:val="1"/>
      <w:numFmt w:val="bullet"/>
      <w:lvlText w:val=""/>
      <w:lvlJc w:val="left"/>
      <w:pPr>
        <w:tabs>
          <w:tab w:val="num" w:pos="2520"/>
        </w:tabs>
        <w:ind w:left="2520" w:right="2160" w:hanging="360"/>
      </w:pPr>
      <w:rPr>
        <w:rFonts w:ascii="Symbol" w:hAnsi="Symbol" w:hint="default"/>
      </w:rPr>
    </w:lvl>
    <w:lvl w:ilvl="4" w:tplc="04090003" w:tentative="1">
      <w:start w:val="1"/>
      <w:numFmt w:val="bullet"/>
      <w:lvlText w:val="o"/>
      <w:lvlJc w:val="left"/>
      <w:pPr>
        <w:tabs>
          <w:tab w:val="num" w:pos="3240"/>
        </w:tabs>
        <w:ind w:left="3240" w:right="2880" w:hanging="360"/>
      </w:pPr>
      <w:rPr>
        <w:rFonts w:ascii="Courier New" w:hAnsi="Courier New" w:hint="default"/>
      </w:rPr>
    </w:lvl>
    <w:lvl w:ilvl="5" w:tplc="04090005" w:tentative="1">
      <w:start w:val="1"/>
      <w:numFmt w:val="bullet"/>
      <w:lvlText w:val=""/>
      <w:lvlJc w:val="left"/>
      <w:pPr>
        <w:tabs>
          <w:tab w:val="num" w:pos="3960"/>
        </w:tabs>
        <w:ind w:left="3960" w:right="3600" w:hanging="360"/>
      </w:pPr>
      <w:rPr>
        <w:rFonts w:ascii="Wingdings" w:hAnsi="Wingdings" w:hint="default"/>
      </w:rPr>
    </w:lvl>
    <w:lvl w:ilvl="6" w:tplc="04090001" w:tentative="1">
      <w:start w:val="1"/>
      <w:numFmt w:val="bullet"/>
      <w:lvlText w:val=""/>
      <w:lvlJc w:val="left"/>
      <w:pPr>
        <w:tabs>
          <w:tab w:val="num" w:pos="4680"/>
        </w:tabs>
        <w:ind w:left="4680" w:right="4320" w:hanging="360"/>
      </w:pPr>
      <w:rPr>
        <w:rFonts w:ascii="Symbol" w:hAnsi="Symbol" w:hint="default"/>
      </w:rPr>
    </w:lvl>
    <w:lvl w:ilvl="7" w:tplc="04090003" w:tentative="1">
      <w:start w:val="1"/>
      <w:numFmt w:val="bullet"/>
      <w:lvlText w:val="o"/>
      <w:lvlJc w:val="left"/>
      <w:pPr>
        <w:tabs>
          <w:tab w:val="num" w:pos="5400"/>
        </w:tabs>
        <w:ind w:left="5400" w:right="5040" w:hanging="360"/>
      </w:pPr>
      <w:rPr>
        <w:rFonts w:ascii="Courier New" w:hAnsi="Courier New" w:hint="default"/>
      </w:rPr>
    </w:lvl>
    <w:lvl w:ilvl="8" w:tplc="04090005" w:tentative="1">
      <w:start w:val="1"/>
      <w:numFmt w:val="bullet"/>
      <w:lvlText w:val=""/>
      <w:lvlJc w:val="left"/>
      <w:pPr>
        <w:tabs>
          <w:tab w:val="num" w:pos="6120"/>
        </w:tabs>
        <w:ind w:left="6120" w:right="5760" w:hanging="360"/>
      </w:pPr>
      <w:rPr>
        <w:rFonts w:ascii="Wingdings" w:hAnsi="Wingdings" w:hint="default"/>
      </w:rPr>
    </w:lvl>
  </w:abstractNum>
  <w:abstractNum w:abstractNumId="6" w15:restartNumberingAfterBreak="0">
    <w:nsid w:val="356062CA"/>
    <w:multiLevelType w:val="hybridMultilevel"/>
    <w:tmpl w:val="35EAD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CE6C89"/>
    <w:multiLevelType w:val="hybridMultilevel"/>
    <w:tmpl w:val="2564E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78374D"/>
    <w:multiLevelType w:val="hybridMultilevel"/>
    <w:tmpl w:val="03A66AD4"/>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9" w15:restartNumberingAfterBreak="0">
    <w:nsid w:val="5ACA4071"/>
    <w:multiLevelType w:val="hybridMultilevel"/>
    <w:tmpl w:val="E774E6FA"/>
    <w:lvl w:ilvl="0" w:tplc="04090001">
      <w:start w:val="1"/>
      <w:numFmt w:val="bullet"/>
      <w:lvlText w:val=""/>
      <w:lvlJc w:val="left"/>
      <w:pPr>
        <w:tabs>
          <w:tab w:val="num" w:pos="502"/>
        </w:tabs>
        <w:ind w:left="502"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65513042"/>
    <w:multiLevelType w:val="hybridMultilevel"/>
    <w:tmpl w:val="2A68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EA59DB"/>
    <w:multiLevelType w:val="hybridMultilevel"/>
    <w:tmpl w:val="04A0C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702BB8"/>
    <w:multiLevelType w:val="hybridMultilevel"/>
    <w:tmpl w:val="EF58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E17F22"/>
    <w:multiLevelType w:val="hybridMultilevel"/>
    <w:tmpl w:val="03FE8B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377294"/>
    <w:multiLevelType w:val="hybridMultilevel"/>
    <w:tmpl w:val="BDAAB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90E0B"/>
    <w:multiLevelType w:val="hybridMultilevel"/>
    <w:tmpl w:val="0FE87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1714B"/>
    <w:multiLevelType w:val="hybridMultilevel"/>
    <w:tmpl w:val="2C2602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0"/>
  </w:num>
  <w:num w:numId="4">
    <w:abstractNumId w:val="8"/>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7"/>
  </w:num>
  <w:num w:numId="10">
    <w:abstractNumId w:val="14"/>
  </w:num>
  <w:num w:numId="11">
    <w:abstractNumId w:val="17"/>
  </w:num>
  <w:num w:numId="12">
    <w:abstractNumId w:val="4"/>
  </w:num>
  <w:num w:numId="13">
    <w:abstractNumId w:val="11"/>
  </w:num>
  <w:num w:numId="14">
    <w:abstractNumId w:val="2"/>
  </w:num>
  <w:num w:numId="15">
    <w:abstractNumId w:val="13"/>
  </w:num>
  <w:num w:numId="16">
    <w:abstractNumId w:val="1"/>
  </w:num>
  <w:num w:numId="17">
    <w:abstractNumId w:val="16"/>
  </w:num>
  <w:num w:numId="18">
    <w:abstractNumId w:val="8"/>
  </w:num>
  <w:num w:numId="19">
    <w:abstractNumId w:val="6"/>
  </w:num>
  <w:num w:numId="20">
    <w:abstractNumId w:val="12"/>
  </w:num>
  <w:num w:numId="2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2"/>
  </w:compat>
  <w:docVars>
    <w:docVar w:name="__Grammarly_42____i" w:val="H4sIAAAAAAAEAKtWckksSQxILCpxzi/NK1GyMqwFAAEhoTITAAAA"/>
    <w:docVar w:name="__Grammarly_42___1" w:val="H4sIAAAAAAAEAKtWcslP9kxRslIyNDYyNjeysDAxMbW0MDUyMzZX0lEKTi0uzszPAykwqgUA4IXgRCwAAAA="/>
  </w:docVars>
  <w:rsids>
    <w:rsidRoot w:val="00A366C3"/>
    <w:rsid w:val="00000F4F"/>
    <w:rsid w:val="00001241"/>
    <w:rsid w:val="00001BD2"/>
    <w:rsid w:val="00002D0E"/>
    <w:rsid w:val="00003DAA"/>
    <w:rsid w:val="0000436C"/>
    <w:rsid w:val="000048FE"/>
    <w:rsid w:val="00004D8C"/>
    <w:rsid w:val="00005619"/>
    <w:rsid w:val="000077F4"/>
    <w:rsid w:val="00010C24"/>
    <w:rsid w:val="00011414"/>
    <w:rsid w:val="00013EF2"/>
    <w:rsid w:val="00016038"/>
    <w:rsid w:val="00016163"/>
    <w:rsid w:val="00016765"/>
    <w:rsid w:val="0001711B"/>
    <w:rsid w:val="00017432"/>
    <w:rsid w:val="00022CD6"/>
    <w:rsid w:val="00023C6C"/>
    <w:rsid w:val="000244A5"/>
    <w:rsid w:val="00025260"/>
    <w:rsid w:val="00025A6A"/>
    <w:rsid w:val="00026EDD"/>
    <w:rsid w:val="00027B43"/>
    <w:rsid w:val="00027D20"/>
    <w:rsid w:val="000300F9"/>
    <w:rsid w:val="00030DD1"/>
    <w:rsid w:val="00031FB3"/>
    <w:rsid w:val="0003203D"/>
    <w:rsid w:val="000321FC"/>
    <w:rsid w:val="000325C8"/>
    <w:rsid w:val="000330F1"/>
    <w:rsid w:val="00033694"/>
    <w:rsid w:val="00033F29"/>
    <w:rsid w:val="000375C3"/>
    <w:rsid w:val="0003797D"/>
    <w:rsid w:val="00040BCD"/>
    <w:rsid w:val="000416C5"/>
    <w:rsid w:val="00042E6E"/>
    <w:rsid w:val="000433F9"/>
    <w:rsid w:val="00044FB8"/>
    <w:rsid w:val="000456E5"/>
    <w:rsid w:val="000477DC"/>
    <w:rsid w:val="000502B7"/>
    <w:rsid w:val="000513A6"/>
    <w:rsid w:val="00053117"/>
    <w:rsid w:val="00055A4C"/>
    <w:rsid w:val="000560CF"/>
    <w:rsid w:val="000562F6"/>
    <w:rsid w:val="0006123B"/>
    <w:rsid w:val="000617B7"/>
    <w:rsid w:val="00062E20"/>
    <w:rsid w:val="000631D2"/>
    <w:rsid w:val="00063271"/>
    <w:rsid w:val="000641AB"/>
    <w:rsid w:val="00066BD3"/>
    <w:rsid w:val="00067351"/>
    <w:rsid w:val="00070FAE"/>
    <w:rsid w:val="00071C85"/>
    <w:rsid w:val="0007345B"/>
    <w:rsid w:val="00073DE4"/>
    <w:rsid w:val="000765AD"/>
    <w:rsid w:val="00077407"/>
    <w:rsid w:val="00080506"/>
    <w:rsid w:val="00080CE1"/>
    <w:rsid w:val="00081259"/>
    <w:rsid w:val="00081D73"/>
    <w:rsid w:val="00082FEC"/>
    <w:rsid w:val="00083051"/>
    <w:rsid w:val="0008351E"/>
    <w:rsid w:val="00083B3C"/>
    <w:rsid w:val="00083D3E"/>
    <w:rsid w:val="000855EE"/>
    <w:rsid w:val="0008771E"/>
    <w:rsid w:val="00090126"/>
    <w:rsid w:val="0009036C"/>
    <w:rsid w:val="00090C33"/>
    <w:rsid w:val="00095DC6"/>
    <w:rsid w:val="00096D39"/>
    <w:rsid w:val="00097804"/>
    <w:rsid w:val="000A0ABB"/>
    <w:rsid w:val="000A1C19"/>
    <w:rsid w:val="000A2AC7"/>
    <w:rsid w:val="000A4CFE"/>
    <w:rsid w:val="000A66CB"/>
    <w:rsid w:val="000A6F58"/>
    <w:rsid w:val="000B032D"/>
    <w:rsid w:val="000B0EA2"/>
    <w:rsid w:val="000B2BA1"/>
    <w:rsid w:val="000B42C5"/>
    <w:rsid w:val="000B42CE"/>
    <w:rsid w:val="000B4543"/>
    <w:rsid w:val="000B51D2"/>
    <w:rsid w:val="000B59DF"/>
    <w:rsid w:val="000B5DED"/>
    <w:rsid w:val="000B651A"/>
    <w:rsid w:val="000B699B"/>
    <w:rsid w:val="000B6CC4"/>
    <w:rsid w:val="000B6F5D"/>
    <w:rsid w:val="000B7252"/>
    <w:rsid w:val="000B7C15"/>
    <w:rsid w:val="000B7F25"/>
    <w:rsid w:val="000C2581"/>
    <w:rsid w:val="000C2B18"/>
    <w:rsid w:val="000C3AB8"/>
    <w:rsid w:val="000C3B01"/>
    <w:rsid w:val="000C431C"/>
    <w:rsid w:val="000C441C"/>
    <w:rsid w:val="000C4A64"/>
    <w:rsid w:val="000C549C"/>
    <w:rsid w:val="000C5D61"/>
    <w:rsid w:val="000C6F9B"/>
    <w:rsid w:val="000D0A76"/>
    <w:rsid w:val="000D1284"/>
    <w:rsid w:val="000D1337"/>
    <w:rsid w:val="000D151D"/>
    <w:rsid w:val="000D2B12"/>
    <w:rsid w:val="000D2B2F"/>
    <w:rsid w:val="000D33F2"/>
    <w:rsid w:val="000D5D84"/>
    <w:rsid w:val="000D6D7E"/>
    <w:rsid w:val="000D7B09"/>
    <w:rsid w:val="000E1049"/>
    <w:rsid w:val="000E160A"/>
    <w:rsid w:val="000E21C6"/>
    <w:rsid w:val="000E3506"/>
    <w:rsid w:val="000E35F4"/>
    <w:rsid w:val="000E3BCE"/>
    <w:rsid w:val="000E3E87"/>
    <w:rsid w:val="000E4198"/>
    <w:rsid w:val="000E5101"/>
    <w:rsid w:val="000E623B"/>
    <w:rsid w:val="000E6864"/>
    <w:rsid w:val="000E7B3B"/>
    <w:rsid w:val="000F0020"/>
    <w:rsid w:val="000F163C"/>
    <w:rsid w:val="000F7256"/>
    <w:rsid w:val="000F73A8"/>
    <w:rsid w:val="00100EF5"/>
    <w:rsid w:val="0010128C"/>
    <w:rsid w:val="001015F2"/>
    <w:rsid w:val="00101621"/>
    <w:rsid w:val="00101930"/>
    <w:rsid w:val="00105795"/>
    <w:rsid w:val="00106A5A"/>
    <w:rsid w:val="00106EA9"/>
    <w:rsid w:val="00110391"/>
    <w:rsid w:val="00111DC6"/>
    <w:rsid w:val="00113707"/>
    <w:rsid w:val="001138ED"/>
    <w:rsid w:val="0011473F"/>
    <w:rsid w:val="00117299"/>
    <w:rsid w:val="001207DA"/>
    <w:rsid w:val="001213E1"/>
    <w:rsid w:val="00121A95"/>
    <w:rsid w:val="0012297E"/>
    <w:rsid w:val="00122E23"/>
    <w:rsid w:val="00122F79"/>
    <w:rsid w:val="00123438"/>
    <w:rsid w:val="00124686"/>
    <w:rsid w:val="00125B7B"/>
    <w:rsid w:val="001275A7"/>
    <w:rsid w:val="0012771D"/>
    <w:rsid w:val="00127883"/>
    <w:rsid w:val="00131A00"/>
    <w:rsid w:val="00133E1A"/>
    <w:rsid w:val="00133E33"/>
    <w:rsid w:val="001348E6"/>
    <w:rsid w:val="00134C65"/>
    <w:rsid w:val="001373FF"/>
    <w:rsid w:val="001407C6"/>
    <w:rsid w:val="00140BE5"/>
    <w:rsid w:val="001412A8"/>
    <w:rsid w:val="00141488"/>
    <w:rsid w:val="00146946"/>
    <w:rsid w:val="00146BD8"/>
    <w:rsid w:val="001471EE"/>
    <w:rsid w:val="00147372"/>
    <w:rsid w:val="00150C7B"/>
    <w:rsid w:val="00150FB4"/>
    <w:rsid w:val="0015330C"/>
    <w:rsid w:val="00155C75"/>
    <w:rsid w:val="00155D30"/>
    <w:rsid w:val="001562B0"/>
    <w:rsid w:val="001569FE"/>
    <w:rsid w:val="00156A3D"/>
    <w:rsid w:val="00156F21"/>
    <w:rsid w:val="00157116"/>
    <w:rsid w:val="00157BD7"/>
    <w:rsid w:val="00163716"/>
    <w:rsid w:val="001655E7"/>
    <w:rsid w:val="00166EC0"/>
    <w:rsid w:val="00170CBA"/>
    <w:rsid w:val="00170CF7"/>
    <w:rsid w:val="00171428"/>
    <w:rsid w:val="0017207D"/>
    <w:rsid w:val="00174479"/>
    <w:rsid w:val="0017633D"/>
    <w:rsid w:val="00176408"/>
    <w:rsid w:val="00180875"/>
    <w:rsid w:val="001812E8"/>
    <w:rsid w:val="001819DB"/>
    <w:rsid w:val="00183D6F"/>
    <w:rsid w:val="0018470D"/>
    <w:rsid w:val="001856A7"/>
    <w:rsid w:val="00185D95"/>
    <w:rsid w:val="001862E6"/>
    <w:rsid w:val="001864E8"/>
    <w:rsid w:val="00186BE7"/>
    <w:rsid w:val="00187616"/>
    <w:rsid w:val="00191043"/>
    <w:rsid w:val="001930FC"/>
    <w:rsid w:val="001938EB"/>
    <w:rsid w:val="001946B3"/>
    <w:rsid w:val="00195FB8"/>
    <w:rsid w:val="001A0C0E"/>
    <w:rsid w:val="001A11AE"/>
    <w:rsid w:val="001A160B"/>
    <w:rsid w:val="001A32E2"/>
    <w:rsid w:val="001A34FB"/>
    <w:rsid w:val="001A3B33"/>
    <w:rsid w:val="001A3D51"/>
    <w:rsid w:val="001A4131"/>
    <w:rsid w:val="001A4F6B"/>
    <w:rsid w:val="001A513A"/>
    <w:rsid w:val="001A53AD"/>
    <w:rsid w:val="001A72D7"/>
    <w:rsid w:val="001B06F2"/>
    <w:rsid w:val="001B11C8"/>
    <w:rsid w:val="001B2040"/>
    <w:rsid w:val="001B5207"/>
    <w:rsid w:val="001B656A"/>
    <w:rsid w:val="001B73C1"/>
    <w:rsid w:val="001B7FA3"/>
    <w:rsid w:val="001C25A7"/>
    <w:rsid w:val="001C34F9"/>
    <w:rsid w:val="001C4F19"/>
    <w:rsid w:val="001C5820"/>
    <w:rsid w:val="001C7777"/>
    <w:rsid w:val="001C7B4E"/>
    <w:rsid w:val="001D004B"/>
    <w:rsid w:val="001D09D2"/>
    <w:rsid w:val="001D2632"/>
    <w:rsid w:val="001D5147"/>
    <w:rsid w:val="001D6818"/>
    <w:rsid w:val="001D7160"/>
    <w:rsid w:val="001D7527"/>
    <w:rsid w:val="001D7F12"/>
    <w:rsid w:val="001E0D23"/>
    <w:rsid w:val="001E2B62"/>
    <w:rsid w:val="001E3229"/>
    <w:rsid w:val="001E3659"/>
    <w:rsid w:val="001E3D2E"/>
    <w:rsid w:val="001E3EA1"/>
    <w:rsid w:val="001E45AB"/>
    <w:rsid w:val="001E5C31"/>
    <w:rsid w:val="001E6634"/>
    <w:rsid w:val="001E6E24"/>
    <w:rsid w:val="001E7011"/>
    <w:rsid w:val="001F1D7C"/>
    <w:rsid w:val="001F2069"/>
    <w:rsid w:val="001F2328"/>
    <w:rsid w:val="001F267D"/>
    <w:rsid w:val="001F2D05"/>
    <w:rsid w:val="001F4229"/>
    <w:rsid w:val="001F4E85"/>
    <w:rsid w:val="001F5099"/>
    <w:rsid w:val="001F775E"/>
    <w:rsid w:val="001F7902"/>
    <w:rsid w:val="00200CE3"/>
    <w:rsid w:val="00200E47"/>
    <w:rsid w:val="002018DC"/>
    <w:rsid w:val="00201BBB"/>
    <w:rsid w:val="0020282F"/>
    <w:rsid w:val="00202B49"/>
    <w:rsid w:val="00206419"/>
    <w:rsid w:val="00211F75"/>
    <w:rsid w:val="00212615"/>
    <w:rsid w:val="00212C24"/>
    <w:rsid w:val="00212CBE"/>
    <w:rsid w:val="00212FC8"/>
    <w:rsid w:val="002130F0"/>
    <w:rsid w:val="00213166"/>
    <w:rsid w:val="00214FC2"/>
    <w:rsid w:val="002164FA"/>
    <w:rsid w:val="00217314"/>
    <w:rsid w:val="0022081A"/>
    <w:rsid w:val="002213D9"/>
    <w:rsid w:val="00222C16"/>
    <w:rsid w:val="00223624"/>
    <w:rsid w:val="00223BDE"/>
    <w:rsid w:val="00223F56"/>
    <w:rsid w:val="00224A82"/>
    <w:rsid w:val="00224D98"/>
    <w:rsid w:val="00225096"/>
    <w:rsid w:val="00225BCA"/>
    <w:rsid w:val="00225C32"/>
    <w:rsid w:val="002301D1"/>
    <w:rsid w:val="00230C4B"/>
    <w:rsid w:val="002317A1"/>
    <w:rsid w:val="00231F3B"/>
    <w:rsid w:val="00232097"/>
    <w:rsid w:val="00232EF4"/>
    <w:rsid w:val="002336A3"/>
    <w:rsid w:val="0023371E"/>
    <w:rsid w:val="002355A5"/>
    <w:rsid w:val="002356AD"/>
    <w:rsid w:val="00235977"/>
    <w:rsid w:val="00235995"/>
    <w:rsid w:val="00235D9E"/>
    <w:rsid w:val="00236338"/>
    <w:rsid w:val="00237D46"/>
    <w:rsid w:val="002405C9"/>
    <w:rsid w:val="0024250E"/>
    <w:rsid w:val="002441C7"/>
    <w:rsid w:val="0024488E"/>
    <w:rsid w:val="00246CAE"/>
    <w:rsid w:val="00246DA9"/>
    <w:rsid w:val="0024790C"/>
    <w:rsid w:val="00251125"/>
    <w:rsid w:val="002511C9"/>
    <w:rsid w:val="00251788"/>
    <w:rsid w:val="00251EE4"/>
    <w:rsid w:val="00252655"/>
    <w:rsid w:val="00254C54"/>
    <w:rsid w:val="00255119"/>
    <w:rsid w:val="002556B9"/>
    <w:rsid w:val="002556E0"/>
    <w:rsid w:val="00262AA4"/>
    <w:rsid w:val="00262BC4"/>
    <w:rsid w:val="002631BA"/>
    <w:rsid w:val="0026353F"/>
    <w:rsid w:val="00263C47"/>
    <w:rsid w:val="00264322"/>
    <w:rsid w:val="002647B3"/>
    <w:rsid w:val="002663B3"/>
    <w:rsid w:val="00266581"/>
    <w:rsid w:val="002711C2"/>
    <w:rsid w:val="00271C5F"/>
    <w:rsid w:val="0027221B"/>
    <w:rsid w:val="00272A1B"/>
    <w:rsid w:val="002750A1"/>
    <w:rsid w:val="002803FA"/>
    <w:rsid w:val="002814F1"/>
    <w:rsid w:val="00282700"/>
    <w:rsid w:val="00282FE2"/>
    <w:rsid w:val="00285973"/>
    <w:rsid w:val="00285B22"/>
    <w:rsid w:val="002870B9"/>
    <w:rsid w:val="00287175"/>
    <w:rsid w:val="00290794"/>
    <w:rsid w:val="002912F1"/>
    <w:rsid w:val="002914F9"/>
    <w:rsid w:val="00291D3F"/>
    <w:rsid w:val="002924B3"/>
    <w:rsid w:val="002927C6"/>
    <w:rsid w:val="00293C28"/>
    <w:rsid w:val="00294CED"/>
    <w:rsid w:val="00294EA4"/>
    <w:rsid w:val="00296226"/>
    <w:rsid w:val="00296662"/>
    <w:rsid w:val="00296EC3"/>
    <w:rsid w:val="00297A75"/>
    <w:rsid w:val="002A0AE1"/>
    <w:rsid w:val="002A2C89"/>
    <w:rsid w:val="002A3D41"/>
    <w:rsid w:val="002A4A36"/>
    <w:rsid w:val="002A4C12"/>
    <w:rsid w:val="002A4CCA"/>
    <w:rsid w:val="002A5595"/>
    <w:rsid w:val="002A594A"/>
    <w:rsid w:val="002A6117"/>
    <w:rsid w:val="002A6D39"/>
    <w:rsid w:val="002B02BD"/>
    <w:rsid w:val="002B1660"/>
    <w:rsid w:val="002B32AA"/>
    <w:rsid w:val="002B4405"/>
    <w:rsid w:val="002B5724"/>
    <w:rsid w:val="002B7714"/>
    <w:rsid w:val="002B7845"/>
    <w:rsid w:val="002C001F"/>
    <w:rsid w:val="002C03CA"/>
    <w:rsid w:val="002C0685"/>
    <w:rsid w:val="002C1E55"/>
    <w:rsid w:val="002C433E"/>
    <w:rsid w:val="002C464D"/>
    <w:rsid w:val="002C5890"/>
    <w:rsid w:val="002C5E71"/>
    <w:rsid w:val="002C6A4E"/>
    <w:rsid w:val="002C7464"/>
    <w:rsid w:val="002C75C2"/>
    <w:rsid w:val="002D0124"/>
    <w:rsid w:val="002D073E"/>
    <w:rsid w:val="002D09B9"/>
    <w:rsid w:val="002D1C9C"/>
    <w:rsid w:val="002D2B3C"/>
    <w:rsid w:val="002D34B3"/>
    <w:rsid w:val="002D5C35"/>
    <w:rsid w:val="002D5E37"/>
    <w:rsid w:val="002D7309"/>
    <w:rsid w:val="002E00FE"/>
    <w:rsid w:val="002E01F6"/>
    <w:rsid w:val="002E1291"/>
    <w:rsid w:val="002E12F6"/>
    <w:rsid w:val="002E1958"/>
    <w:rsid w:val="002E19A8"/>
    <w:rsid w:val="002E2136"/>
    <w:rsid w:val="002E36F3"/>
    <w:rsid w:val="002E4099"/>
    <w:rsid w:val="002E4964"/>
    <w:rsid w:val="002F033A"/>
    <w:rsid w:val="002F10FA"/>
    <w:rsid w:val="002F3B21"/>
    <w:rsid w:val="002F4121"/>
    <w:rsid w:val="002F44B8"/>
    <w:rsid w:val="002F57CD"/>
    <w:rsid w:val="002F7821"/>
    <w:rsid w:val="002F7D17"/>
    <w:rsid w:val="003028A6"/>
    <w:rsid w:val="0030374A"/>
    <w:rsid w:val="003047EF"/>
    <w:rsid w:val="00310F37"/>
    <w:rsid w:val="00311100"/>
    <w:rsid w:val="003124DC"/>
    <w:rsid w:val="0031305E"/>
    <w:rsid w:val="0031315C"/>
    <w:rsid w:val="00313947"/>
    <w:rsid w:val="00313D00"/>
    <w:rsid w:val="00313EB2"/>
    <w:rsid w:val="00317E78"/>
    <w:rsid w:val="0032224F"/>
    <w:rsid w:val="0032261F"/>
    <w:rsid w:val="00323B36"/>
    <w:rsid w:val="00324887"/>
    <w:rsid w:val="003253B0"/>
    <w:rsid w:val="003271C6"/>
    <w:rsid w:val="00327556"/>
    <w:rsid w:val="003307F3"/>
    <w:rsid w:val="00331C1A"/>
    <w:rsid w:val="00331E85"/>
    <w:rsid w:val="00332294"/>
    <w:rsid w:val="00332BC9"/>
    <w:rsid w:val="003330E5"/>
    <w:rsid w:val="0033454C"/>
    <w:rsid w:val="003356FE"/>
    <w:rsid w:val="00341DDB"/>
    <w:rsid w:val="00342FAB"/>
    <w:rsid w:val="00343165"/>
    <w:rsid w:val="00343CEA"/>
    <w:rsid w:val="00350241"/>
    <w:rsid w:val="00351E1A"/>
    <w:rsid w:val="00354094"/>
    <w:rsid w:val="003545F6"/>
    <w:rsid w:val="00354CEE"/>
    <w:rsid w:val="00355025"/>
    <w:rsid w:val="00355091"/>
    <w:rsid w:val="00356E80"/>
    <w:rsid w:val="0035743B"/>
    <w:rsid w:val="0036030C"/>
    <w:rsid w:val="00360AF7"/>
    <w:rsid w:val="00360EBF"/>
    <w:rsid w:val="00361D5F"/>
    <w:rsid w:val="003636BE"/>
    <w:rsid w:val="00364E5F"/>
    <w:rsid w:val="00364F3D"/>
    <w:rsid w:val="003655D0"/>
    <w:rsid w:val="00365A8D"/>
    <w:rsid w:val="00367679"/>
    <w:rsid w:val="00367BCA"/>
    <w:rsid w:val="00367E1C"/>
    <w:rsid w:val="00374736"/>
    <w:rsid w:val="00374DF8"/>
    <w:rsid w:val="003804DA"/>
    <w:rsid w:val="003813D1"/>
    <w:rsid w:val="00381602"/>
    <w:rsid w:val="00383688"/>
    <w:rsid w:val="00385EFE"/>
    <w:rsid w:val="00387F66"/>
    <w:rsid w:val="003901B8"/>
    <w:rsid w:val="00391FD8"/>
    <w:rsid w:val="00392E5C"/>
    <w:rsid w:val="003930AA"/>
    <w:rsid w:val="0039380E"/>
    <w:rsid w:val="00394900"/>
    <w:rsid w:val="00394929"/>
    <w:rsid w:val="00394EEE"/>
    <w:rsid w:val="0039526C"/>
    <w:rsid w:val="003956D9"/>
    <w:rsid w:val="003960CB"/>
    <w:rsid w:val="00396F32"/>
    <w:rsid w:val="003A0D2B"/>
    <w:rsid w:val="003A19C1"/>
    <w:rsid w:val="003A228B"/>
    <w:rsid w:val="003A2E2A"/>
    <w:rsid w:val="003A3070"/>
    <w:rsid w:val="003A339E"/>
    <w:rsid w:val="003A4476"/>
    <w:rsid w:val="003A5945"/>
    <w:rsid w:val="003A6219"/>
    <w:rsid w:val="003B2B82"/>
    <w:rsid w:val="003B32F7"/>
    <w:rsid w:val="003B368B"/>
    <w:rsid w:val="003B5838"/>
    <w:rsid w:val="003B639D"/>
    <w:rsid w:val="003B7092"/>
    <w:rsid w:val="003C0C36"/>
    <w:rsid w:val="003C13DB"/>
    <w:rsid w:val="003C2326"/>
    <w:rsid w:val="003C36FD"/>
    <w:rsid w:val="003C7999"/>
    <w:rsid w:val="003D2BFE"/>
    <w:rsid w:val="003D2CE7"/>
    <w:rsid w:val="003D3391"/>
    <w:rsid w:val="003D388F"/>
    <w:rsid w:val="003D46F8"/>
    <w:rsid w:val="003D71BD"/>
    <w:rsid w:val="003D7433"/>
    <w:rsid w:val="003D7849"/>
    <w:rsid w:val="003D7B6F"/>
    <w:rsid w:val="003E0DB1"/>
    <w:rsid w:val="003E2692"/>
    <w:rsid w:val="003E3F51"/>
    <w:rsid w:val="003E5811"/>
    <w:rsid w:val="003E5AD4"/>
    <w:rsid w:val="003E5F56"/>
    <w:rsid w:val="003E7F7C"/>
    <w:rsid w:val="003F0A56"/>
    <w:rsid w:val="003F0CB8"/>
    <w:rsid w:val="003F0EB6"/>
    <w:rsid w:val="003F1770"/>
    <w:rsid w:val="003F3FE2"/>
    <w:rsid w:val="003F4452"/>
    <w:rsid w:val="003F460F"/>
    <w:rsid w:val="003F5A11"/>
    <w:rsid w:val="003F6C4F"/>
    <w:rsid w:val="003F6D49"/>
    <w:rsid w:val="003F7C43"/>
    <w:rsid w:val="003F7FEF"/>
    <w:rsid w:val="0040010E"/>
    <w:rsid w:val="0040092D"/>
    <w:rsid w:val="00401299"/>
    <w:rsid w:val="00403EC1"/>
    <w:rsid w:val="00404535"/>
    <w:rsid w:val="00405623"/>
    <w:rsid w:val="004065B2"/>
    <w:rsid w:val="00406EF3"/>
    <w:rsid w:val="00407C48"/>
    <w:rsid w:val="00410086"/>
    <w:rsid w:val="004109C8"/>
    <w:rsid w:val="00410DDF"/>
    <w:rsid w:val="00411B8F"/>
    <w:rsid w:val="00411CE5"/>
    <w:rsid w:val="00411FBC"/>
    <w:rsid w:val="0041219D"/>
    <w:rsid w:val="00413BC0"/>
    <w:rsid w:val="00413FA6"/>
    <w:rsid w:val="004148A9"/>
    <w:rsid w:val="00414990"/>
    <w:rsid w:val="00415B14"/>
    <w:rsid w:val="00417D6C"/>
    <w:rsid w:val="00421BD9"/>
    <w:rsid w:val="004240B4"/>
    <w:rsid w:val="00427222"/>
    <w:rsid w:val="004308FF"/>
    <w:rsid w:val="00432170"/>
    <w:rsid w:val="004325B0"/>
    <w:rsid w:val="004329CD"/>
    <w:rsid w:val="00433535"/>
    <w:rsid w:val="00433E16"/>
    <w:rsid w:val="004365C7"/>
    <w:rsid w:val="004400B0"/>
    <w:rsid w:val="004405D9"/>
    <w:rsid w:val="00441543"/>
    <w:rsid w:val="004432BE"/>
    <w:rsid w:val="0044413B"/>
    <w:rsid w:val="004459A8"/>
    <w:rsid w:val="00445B1A"/>
    <w:rsid w:val="00445C45"/>
    <w:rsid w:val="0044744B"/>
    <w:rsid w:val="00450CD0"/>
    <w:rsid w:val="00450E18"/>
    <w:rsid w:val="00452AEF"/>
    <w:rsid w:val="0045324B"/>
    <w:rsid w:val="0045338F"/>
    <w:rsid w:val="0045400A"/>
    <w:rsid w:val="00454FF2"/>
    <w:rsid w:val="00456322"/>
    <w:rsid w:val="00456C39"/>
    <w:rsid w:val="00456DC8"/>
    <w:rsid w:val="00460676"/>
    <w:rsid w:val="0046082F"/>
    <w:rsid w:val="00461A7B"/>
    <w:rsid w:val="00464D6E"/>
    <w:rsid w:val="004656FD"/>
    <w:rsid w:val="0046576B"/>
    <w:rsid w:val="00467B3E"/>
    <w:rsid w:val="00467BF6"/>
    <w:rsid w:val="00471A37"/>
    <w:rsid w:val="0047306C"/>
    <w:rsid w:val="0047454C"/>
    <w:rsid w:val="004748F2"/>
    <w:rsid w:val="004757ED"/>
    <w:rsid w:val="00476F91"/>
    <w:rsid w:val="004773D0"/>
    <w:rsid w:val="00477711"/>
    <w:rsid w:val="00477A3B"/>
    <w:rsid w:val="00480A4D"/>
    <w:rsid w:val="00482932"/>
    <w:rsid w:val="004832DE"/>
    <w:rsid w:val="00484252"/>
    <w:rsid w:val="00484A54"/>
    <w:rsid w:val="004868F5"/>
    <w:rsid w:val="00490FEF"/>
    <w:rsid w:val="00491067"/>
    <w:rsid w:val="00491234"/>
    <w:rsid w:val="004928B0"/>
    <w:rsid w:val="0049308F"/>
    <w:rsid w:val="004936F7"/>
    <w:rsid w:val="00493813"/>
    <w:rsid w:val="0049410B"/>
    <w:rsid w:val="00494806"/>
    <w:rsid w:val="00495247"/>
    <w:rsid w:val="0049790B"/>
    <w:rsid w:val="00497F36"/>
    <w:rsid w:val="004A0AE2"/>
    <w:rsid w:val="004A1EE2"/>
    <w:rsid w:val="004A2C49"/>
    <w:rsid w:val="004A4F8D"/>
    <w:rsid w:val="004A6C76"/>
    <w:rsid w:val="004B001B"/>
    <w:rsid w:val="004B174E"/>
    <w:rsid w:val="004B1C8C"/>
    <w:rsid w:val="004B2D49"/>
    <w:rsid w:val="004B37BE"/>
    <w:rsid w:val="004B3AB8"/>
    <w:rsid w:val="004B4961"/>
    <w:rsid w:val="004B4DF7"/>
    <w:rsid w:val="004B5D2E"/>
    <w:rsid w:val="004B67A2"/>
    <w:rsid w:val="004B7C1D"/>
    <w:rsid w:val="004B7E50"/>
    <w:rsid w:val="004C068B"/>
    <w:rsid w:val="004C06EF"/>
    <w:rsid w:val="004C1276"/>
    <w:rsid w:val="004C12BA"/>
    <w:rsid w:val="004C135E"/>
    <w:rsid w:val="004C14FE"/>
    <w:rsid w:val="004C172B"/>
    <w:rsid w:val="004C2A55"/>
    <w:rsid w:val="004C4332"/>
    <w:rsid w:val="004C538E"/>
    <w:rsid w:val="004C675F"/>
    <w:rsid w:val="004C7DCA"/>
    <w:rsid w:val="004D12F8"/>
    <w:rsid w:val="004D1482"/>
    <w:rsid w:val="004D2C9D"/>
    <w:rsid w:val="004D3A79"/>
    <w:rsid w:val="004D5ECC"/>
    <w:rsid w:val="004D687E"/>
    <w:rsid w:val="004E0AC6"/>
    <w:rsid w:val="004E0CA5"/>
    <w:rsid w:val="004E20FC"/>
    <w:rsid w:val="004E2959"/>
    <w:rsid w:val="004E5198"/>
    <w:rsid w:val="004E5A7F"/>
    <w:rsid w:val="004E610E"/>
    <w:rsid w:val="004F093B"/>
    <w:rsid w:val="004F2284"/>
    <w:rsid w:val="004F2A97"/>
    <w:rsid w:val="004F2ED2"/>
    <w:rsid w:val="004F46DE"/>
    <w:rsid w:val="004F4C25"/>
    <w:rsid w:val="004F6AE9"/>
    <w:rsid w:val="004F7286"/>
    <w:rsid w:val="004F7614"/>
    <w:rsid w:val="0050028D"/>
    <w:rsid w:val="00501CD9"/>
    <w:rsid w:val="0050283E"/>
    <w:rsid w:val="00505C90"/>
    <w:rsid w:val="0050652F"/>
    <w:rsid w:val="00506B1A"/>
    <w:rsid w:val="0051165A"/>
    <w:rsid w:val="00511DA1"/>
    <w:rsid w:val="005135C7"/>
    <w:rsid w:val="00514840"/>
    <w:rsid w:val="00514E79"/>
    <w:rsid w:val="00515EB1"/>
    <w:rsid w:val="005162FF"/>
    <w:rsid w:val="00520187"/>
    <w:rsid w:val="00520949"/>
    <w:rsid w:val="00521BC9"/>
    <w:rsid w:val="005235F3"/>
    <w:rsid w:val="00523E31"/>
    <w:rsid w:val="00524574"/>
    <w:rsid w:val="00526388"/>
    <w:rsid w:val="005275D8"/>
    <w:rsid w:val="00527998"/>
    <w:rsid w:val="00530108"/>
    <w:rsid w:val="00530FFA"/>
    <w:rsid w:val="00531411"/>
    <w:rsid w:val="005319BA"/>
    <w:rsid w:val="00532AC3"/>
    <w:rsid w:val="00533615"/>
    <w:rsid w:val="00534891"/>
    <w:rsid w:val="00535F58"/>
    <w:rsid w:val="005369D3"/>
    <w:rsid w:val="00536BDE"/>
    <w:rsid w:val="00537694"/>
    <w:rsid w:val="00540D37"/>
    <w:rsid w:val="00540E86"/>
    <w:rsid w:val="00543011"/>
    <w:rsid w:val="005443CC"/>
    <w:rsid w:val="00544F04"/>
    <w:rsid w:val="005471B7"/>
    <w:rsid w:val="00550E96"/>
    <w:rsid w:val="00551D25"/>
    <w:rsid w:val="00551F40"/>
    <w:rsid w:val="00554549"/>
    <w:rsid w:val="005556AB"/>
    <w:rsid w:val="00556A87"/>
    <w:rsid w:val="00556AE9"/>
    <w:rsid w:val="00556DFC"/>
    <w:rsid w:val="0056089C"/>
    <w:rsid w:val="00560D43"/>
    <w:rsid w:val="00561A36"/>
    <w:rsid w:val="005620EF"/>
    <w:rsid w:val="00564326"/>
    <w:rsid w:val="00564CD5"/>
    <w:rsid w:val="00565679"/>
    <w:rsid w:val="00566780"/>
    <w:rsid w:val="005671C4"/>
    <w:rsid w:val="005710D8"/>
    <w:rsid w:val="00572707"/>
    <w:rsid w:val="00573AEF"/>
    <w:rsid w:val="00575CA1"/>
    <w:rsid w:val="0057734F"/>
    <w:rsid w:val="00577CD0"/>
    <w:rsid w:val="00580C01"/>
    <w:rsid w:val="00581DC7"/>
    <w:rsid w:val="00582541"/>
    <w:rsid w:val="00583780"/>
    <w:rsid w:val="0058397D"/>
    <w:rsid w:val="00584738"/>
    <w:rsid w:val="005847A1"/>
    <w:rsid w:val="0058704C"/>
    <w:rsid w:val="00587DE1"/>
    <w:rsid w:val="00591E3C"/>
    <w:rsid w:val="00592D77"/>
    <w:rsid w:val="00594893"/>
    <w:rsid w:val="0059670B"/>
    <w:rsid w:val="005971FF"/>
    <w:rsid w:val="005972E1"/>
    <w:rsid w:val="0059761A"/>
    <w:rsid w:val="00597B60"/>
    <w:rsid w:val="005A0A8C"/>
    <w:rsid w:val="005A0C08"/>
    <w:rsid w:val="005A3CB6"/>
    <w:rsid w:val="005A4C97"/>
    <w:rsid w:val="005A5662"/>
    <w:rsid w:val="005A6657"/>
    <w:rsid w:val="005A7B75"/>
    <w:rsid w:val="005B08CE"/>
    <w:rsid w:val="005B499A"/>
    <w:rsid w:val="005B4D7F"/>
    <w:rsid w:val="005B5E18"/>
    <w:rsid w:val="005B62F8"/>
    <w:rsid w:val="005B645E"/>
    <w:rsid w:val="005B7F58"/>
    <w:rsid w:val="005C0776"/>
    <w:rsid w:val="005C24D2"/>
    <w:rsid w:val="005C270B"/>
    <w:rsid w:val="005C28E9"/>
    <w:rsid w:val="005C553F"/>
    <w:rsid w:val="005C61DF"/>
    <w:rsid w:val="005C680E"/>
    <w:rsid w:val="005C6F1B"/>
    <w:rsid w:val="005D0132"/>
    <w:rsid w:val="005D08AF"/>
    <w:rsid w:val="005D09EE"/>
    <w:rsid w:val="005D1ACC"/>
    <w:rsid w:val="005D1EC0"/>
    <w:rsid w:val="005D21F2"/>
    <w:rsid w:val="005D22F7"/>
    <w:rsid w:val="005D279A"/>
    <w:rsid w:val="005D295F"/>
    <w:rsid w:val="005D3820"/>
    <w:rsid w:val="005D41D3"/>
    <w:rsid w:val="005D58C9"/>
    <w:rsid w:val="005E02CB"/>
    <w:rsid w:val="005E0B74"/>
    <w:rsid w:val="005E0E1F"/>
    <w:rsid w:val="005E2836"/>
    <w:rsid w:val="005E2DAC"/>
    <w:rsid w:val="005E3631"/>
    <w:rsid w:val="005E367A"/>
    <w:rsid w:val="005E40E3"/>
    <w:rsid w:val="005E4B6B"/>
    <w:rsid w:val="005E4F0A"/>
    <w:rsid w:val="005E50B6"/>
    <w:rsid w:val="005E7E82"/>
    <w:rsid w:val="005F0D4A"/>
    <w:rsid w:val="005F18E7"/>
    <w:rsid w:val="005F2C8D"/>
    <w:rsid w:val="005F3739"/>
    <w:rsid w:val="005F3742"/>
    <w:rsid w:val="005F3B94"/>
    <w:rsid w:val="005F42CB"/>
    <w:rsid w:val="005F4ECF"/>
    <w:rsid w:val="005F4F09"/>
    <w:rsid w:val="005F550D"/>
    <w:rsid w:val="005F5B22"/>
    <w:rsid w:val="005F602E"/>
    <w:rsid w:val="005F7BAB"/>
    <w:rsid w:val="00601849"/>
    <w:rsid w:val="00602F46"/>
    <w:rsid w:val="00603463"/>
    <w:rsid w:val="00603867"/>
    <w:rsid w:val="00605A07"/>
    <w:rsid w:val="00606E8A"/>
    <w:rsid w:val="006071E7"/>
    <w:rsid w:val="00607887"/>
    <w:rsid w:val="0061085F"/>
    <w:rsid w:val="00612215"/>
    <w:rsid w:val="00612F0E"/>
    <w:rsid w:val="0061443F"/>
    <w:rsid w:val="006158EF"/>
    <w:rsid w:val="00616269"/>
    <w:rsid w:val="00617998"/>
    <w:rsid w:val="00617A77"/>
    <w:rsid w:val="00617FB0"/>
    <w:rsid w:val="00621FDF"/>
    <w:rsid w:val="006221FB"/>
    <w:rsid w:val="006259AC"/>
    <w:rsid w:val="0062611B"/>
    <w:rsid w:val="006304FA"/>
    <w:rsid w:val="006312D5"/>
    <w:rsid w:val="006317C5"/>
    <w:rsid w:val="006320D5"/>
    <w:rsid w:val="0063234B"/>
    <w:rsid w:val="00632EE4"/>
    <w:rsid w:val="0063640F"/>
    <w:rsid w:val="006365C3"/>
    <w:rsid w:val="00636711"/>
    <w:rsid w:val="006418C5"/>
    <w:rsid w:val="00641C6F"/>
    <w:rsid w:val="006461AA"/>
    <w:rsid w:val="00650270"/>
    <w:rsid w:val="00651D8F"/>
    <w:rsid w:val="00652B6F"/>
    <w:rsid w:val="00652BDB"/>
    <w:rsid w:val="00653020"/>
    <w:rsid w:val="00653A73"/>
    <w:rsid w:val="00655A23"/>
    <w:rsid w:val="00657AB6"/>
    <w:rsid w:val="006604E9"/>
    <w:rsid w:val="006614B1"/>
    <w:rsid w:val="00661FE1"/>
    <w:rsid w:val="006642A7"/>
    <w:rsid w:val="00664DBF"/>
    <w:rsid w:val="00665D04"/>
    <w:rsid w:val="0066744E"/>
    <w:rsid w:val="00667535"/>
    <w:rsid w:val="00667B33"/>
    <w:rsid w:val="00670F60"/>
    <w:rsid w:val="00674987"/>
    <w:rsid w:val="00674CA8"/>
    <w:rsid w:val="00680BFF"/>
    <w:rsid w:val="00682F0D"/>
    <w:rsid w:val="00683EA1"/>
    <w:rsid w:val="006854EE"/>
    <w:rsid w:val="0068614B"/>
    <w:rsid w:val="00686B0A"/>
    <w:rsid w:val="00687E9F"/>
    <w:rsid w:val="00690AF2"/>
    <w:rsid w:val="00691523"/>
    <w:rsid w:val="00692685"/>
    <w:rsid w:val="00693F92"/>
    <w:rsid w:val="006947BF"/>
    <w:rsid w:val="00694B3A"/>
    <w:rsid w:val="00694EF0"/>
    <w:rsid w:val="00695011"/>
    <w:rsid w:val="0069504E"/>
    <w:rsid w:val="00696334"/>
    <w:rsid w:val="006970DC"/>
    <w:rsid w:val="006A0980"/>
    <w:rsid w:val="006A1C74"/>
    <w:rsid w:val="006A246C"/>
    <w:rsid w:val="006A353A"/>
    <w:rsid w:val="006A3E7C"/>
    <w:rsid w:val="006A4F9F"/>
    <w:rsid w:val="006B1C8C"/>
    <w:rsid w:val="006B1E43"/>
    <w:rsid w:val="006B1F0A"/>
    <w:rsid w:val="006B3E42"/>
    <w:rsid w:val="006B4CC7"/>
    <w:rsid w:val="006B6951"/>
    <w:rsid w:val="006B6980"/>
    <w:rsid w:val="006C0C4A"/>
    <w:rsid w:val="006C1B91"/>
    <w:rsid w:val="006C3760"/>
    <w:rsid w:val="006C519C"/>
    <w:rsid w:val="006C5A84"/>
    <w:rsid w:val="006C5AC1"/>
    <w:rsid w:val="006C6465"/>
    <w:rsid w:val="006C66B4"/>
    <w:rsid w:val="006C6F04"/>
    <w:rsid w:val="006C727E"/>
    <w:rsid w:val="006C750F"/>
    <w:rsid w:val="006C7AAD"/>
    <w:rsid w:val="006C7EBF"/>
    <w:rsid w:val="006D060B"/>
    <w:rsid w:val="006D0BCB"/>
    <w:rsid w:val="006D4767"/>
    <w:rsid w:val="006D4E39"/>
    <w:rsid w:val="006D515C"/>
    <w:rsid w:val="006D5E37"/>
    <w:rsid w:val="006D6D7A"/>
    <w:rsid w:val="006D7863"/>
    <w:rsid w:val="006E0CED"/>
    <w:rsid w:val="006E0D63"/>
    <w:rsid w:val="006E21F7"/>
    <w:rsid w:val="006E2BCB"/>
    <w:rsid w:val="006E32DD"/>
    <w:rsid w:val="006E3DBA"/>
    <w:rsid w:val="006F03A8"/>
    <w:rsid w:val="006F081C"/>
    <w:rsid w:val="006F1081"/>
    <w:rsid w:val="006F1D23"/>
    <w:rsid w:val="006F4B47"/>
    <w:rsid w:val="006F5C9D"/>
    <w:rsid w:val="006F6282"/>
    <w:rsid w:val="006F717D"/>
    <w:rsid w:val="006F7BA5"/>
    <w:rsid w:val="00700C73"/>
    <w:rsid w:val="00701CFB"/>
    <w:rsid w:val="00702AEA"/>
    <w:rsid w:val="007031BF"/>
    <w:rsid w:val="0070569F"/>
    <w:rsid w:val="007077F9"/>
    <w:rsid w:val="00707ABD"/>
    <w:rsid w:val="00710761"/>
    <w:rsid w:val="00711FD7"/>
    <w:rsid w:val="0071408B"/>
    <w:rsid w:val="00715308"/>
    <w:rsid w:val="00716ECB"/>
    <w:rsid w:val="00717DAE"/>
    <w:rsid w:val="00721665"/>
    <w:rsid w:val="0072226A"/>
    <w:rsid w:val="00722971"/>
    <w:rsid w:val="007230F2"/>
    <w:rsid w:val="00723140"/>
    <w:rsid w:val="007233E1"/>
    <w:rsid w:val="00723B46"/>
    <w:rsid w:val="00725FF6"/>
    <w:rsid w:val="00726268"/>
    <w:rsid w:val="00726E2D"/>
    <w:rsid w:val="007305F2"/>
    <w:rsid w:val="00733445"/>
    <w:rsid w:val="00735E89"/>
    <w:rsid w:val="00737C58"/>
    <w:rsid w:val="007401AF"/>
    <w:rsid w:val="00742EBD"/>
    <w:rsid w:val="0074589C"/>
    <w:rsid w:val="00746094"/>
    <w:rsid w:val="00746169"/>
    <w:rsid w:val="0074620A"/>
    <w:rsid w:val="007512B0"/>
    <w:rsid w:val="007518A3"/>
    <w:rsid w:val="00751C9A"/>
    <w:rsid w:val="007528AF"/>
    <w:rsid w:val="0075392C"/>
    <w:rsid w:val="007565DA"/>
    <w:rsid w:val="0075766C"/>
    <w:rsid w:val="00757945"/>
    <w:rsid w:val="00760215"/>
    <w:rsid w:val="00761C27"/>
    <w:rsid w:val="00762432"/>
    <w:rsid w:val="00762BD2"/>
    <w:rsid w:val="00763660"/>
    <w:rsid w:val="00763AC8"/>
    <w:rsid w:val="00763C59"/>
    <w:rsid w:val="0076545F"/>
    <w:rsid w:val="0076738E"/>
    <w:rsid w:val="007706A8"/>
    <w:rsid w:val="00774110"/>
    <w:rsid w:val="007741F4"/>
    <w:rsid w:val="00774BD7"/>
    <w:rsid w:val="00774CA4"/>
    <w:rsid w:val="00776206"/>
    <w:rsid w:val="007762E6"/>
    <w:rsid w:val="0077688A"/>
    <w:rsid w:val="00777D08"/>
    <w:rsid w:val="0078001E"/>
    <w:rsid w:val="00780385"/>
    <w:rsid w:val="00781036"/>
    <w:rsid w:val="00781B9D"/>
    <w:rsid w:val="007840EC"/>
    <w:rsid w:val="00784217"/>
    <w:rsid w:val="00784E29"/>
    <w:rsid w:val="00786BB7"/>
    <w:rsid w:val="0078786B"/>
    <w:rsid w:val="00790D6D"/>
    <w:rsid w:val="00793437"/>
    <w:rsid w:val="00794F0D"/>
    <w:rsid w:val="0079530E"/>
    <w:rsid w:val="00796196"/>
    <w:rsid w:val="0079677F"/>
    <w:rsid w:val="00796931"/>
    <w:rsid w:val="00797225"/>
    <w:rsid w:val="00797272"/>
    <w:rsid w:val="007A157B"/>
    <w:rsid w:val="007A2C00"/>
    <w:rsid w:val="007A328A"/>
    <w:rsid w:val="007A3EFF"/>
    <w:rsid w:val="007A434A"/>
    <w:rsid w:val="007A439F"/>
    <w:rsid w:val="007A4AFC"/>
    <w:rsid w:val="007A53B6"/>
    <w:rsid w:val="007A57CD"/>
    <w:rsid w:val="007A5851"/>
    <w:rsid w:val="007A5D60"/>
    <w:rsid w:val="007B0E7D"/>
    <w:rsid w:val="007B1CDA"/>
    <w:rsid w:val="007B1F6C"/>
    <w:rsid w:val="007B217C"/>
    <w:rsid w:val="007B38BE"/>
    <w:rsid w:val="007B4470"/>
    <w:rsid w:val="007B5107"/>
    <w:rsid w:val="007B59FD"/>
    <w:rsid w:val="007B6502"/>
    <w:rsid w:val="007B681A"/>
    <w:rsid w:val="007C0026"/>
    <w:rsid w:val="007C0E2C"/>
    <w:rsid w:val="007C10D3"/>
    <w:rsid w:val="007C2A64"/>
    <w:rsid w:val="007C3E07"/>
    <w:rsid w:val="007C4212"/>
    <w:rsid w:val="007D1BDA"/>
    <w:rsid w:val="007D20F1"/>
    <w:rsid w:val="007D41B4"/>
    <w:rsid w:val="007D456C"/>
    <w:rsid w:val="007D4BEC"/>
    <w:rsid w:val="007D4CC9"/>
    <w:rsid w:val="007D50D5"/>
    <w:rsid w:val="007D57E9"/>
    <w:rsid w:val="007D57EF"/>
    <w:rsid w:val="007D5BBA"/>
    <w:rsid w:val="007D5BC6"/>
    <w:rsid w:val="007D5C07"/>
    <w:rsid w:val="007D7894"/>
    <w:rsid w:val="007E123E"/>
    <w:rsid w:val="007E2562"/>
    <w:rsid w:val="007E2F8D"/>
    <w:rsid w:val="007E37BF"/>
    <w:rsid w:val="007E4CA5"/>
    <w:rsid w:val="007E515A"/>
    <w:rsid w:val="007E575A"/>
    <w:rsid w:val="007E799E"/>
    <w:rsid w:val="007F1A76"/>
    <w:rsid w:val="007F257F"/>
    <w:rsid w:val="007F355C"/>
    <w:rsid w:val="007F3ADA"/>
    <w:rsid w:val="007F47B3"/>
    <w:rsid w:val="007F7CBD"/>
    <w:rsid w:val="007F7E73"/>
    <w:rsid w:val="0080057A"/>
    <w:rsid w:val="00800EDC"/>
    <w:rsid w:val="0080221A"/>
    <w:rsid w:val="0080384F"/>
    <w:rsid w:val="00804B7E"/>
    <w:rsid w:val="008062C1"/>
    <w:rsid w:val="00807344"/>
    <w:rsid w:val="00807D9A"/>
    <w:rsid w:val="008108DD"/>
    <w:rsid w:val="0081139A"/>
    <w:rsid w:val="008113D0"/>
    <w:rsid w:val="008135D0"/>
    <w:rsid w:val="00813E3E"/>
    <w:rsid w:val="00814941"/>
    <w:rsid w:val="008165A7"/>
    <w:rsid w:val="00816B7C"/>
    <w:rsid w:val="00816E64"/>
    <w:rsid w:val="00820076"/>
    <w:rsid w:val="00820173"/>
    <w:rsid w:val="00820687"/>
    <w:rsid w:val="00820836"/>
    <w:rsid w:val="008216CC"/>
    <w:rsid w:val="00822913"/>
    <w:rsid w:val="008232F6"/>
    <w:rsid w:val="00823329"/>
    <w:rsid w:val="00823359"/>
    <w:rsid w:val="008234A7"/>
    <w:rsid w:val="00824147"/>
    <w:rsid w:val="00825E67"/>
    <w:rsid w:val="0082699B"/>
    <w:rsid w:val="00827B1B"/>
    <w:rsid w:val="00827BC6"/>
    <w:rsid w:val="00830C62"/>
    <w:rsid w:val="0083228B"/>
    <w:rsid w:val="00832EFF"/>
    <w:rsid w:val="008337FC"/>
    <w:rsid w:val="00834970"/>
    <w:rsid w:val="00836208"/>
    <w:rsid w:val="00840240"/>
    <w:rsid w:val="0084037A"/>
    <w:rsid w:val="00840F98"/>
    <w:rsid w:val="00842349"/>
    <w:rsid w:val="0084349A"/>
    <w:rsid w:val="008446C5"/>
    <w:rsid w:val="00844A51"/>
    <w:rsid w:val="00844F19"/>
    <w:rsid w:val="00846B7B"/>
    <w:rsid w:val="00847D52"/>
    <w:rsid w:val="00850C8F"/>
    <w:rsid w:val="00851552"/>
    <w:rsid w:val="008551DF"/>
    <w:rsid w:val="008554F4"/>
    <w:rsid w:val="0085552B"/>
    <w:rsid w:val="00855AAE"/>
    <w:rsid w:val="0086234B"/>
    <w:rsid w:val="008623A7"/>
    <w:rsid w:val="00863252"/>
    <w:rsid w:val="00863647"/>
    <w:rsid w:val="00863B34"/>
    <w:rsid w:val="008643D6"/>
    <w:rsid w:val="008670F5"/>
    <w:rsid w:val="008672EC"/>
    <w:rsid w:val="00870CA7"/>
    <w:rsid w:val="00871BEA"/>
    <w:rsid w:val="00871EAA"/>
    <w:rsid w:val="00873CA2"/>
    <w:rsid w:val="00873CF4"/>
    <w:rsid w:val="00874813"/>
    <w:rsid w:val="00875214"/>
    <w:rsid w:val="0087616D"/>
    <w:rsid w:val="00876C29"/>
    <w:rsid w:val="00876FBA"/>
    <w:rsid w:val="0087705D"/>
    <w:rsid w:val="00881201"/>
    <w:rsid w:val="00882481"/>
    <w:rsid w:val="00882D31"/>
    <w:rsid w:val="00884C07"/>
    <w:rsid w:val="0088501A"/>
    <w:rsid w:val="00886975"/>
    <w:rsid w:val="00890B95"/>
    <w:rsid w:val="00892CB8"/>
    <w:rsid w:val="00895197"/>
    <w:rsid w:val="00896C83"/>
    <w:rsid w:val="008A20A0"/>
    <w:rsid w:val="008A2441"/>
    <w:rsid w:val="008A3E11"/>
    <w:rsid w:val="008A3E37"/>
    <w:rsid w:val="008A422D"/>
    <w:rsid w:val="008A56D1"/>
    <w:rsid w:val="008A75C8"/>
    <w:rsid w:val="008B217C"/>
    <w:rsid w:val="008B22EF"/>
    <w:rsid w:val="008B3E9C"/>
    <w:rsid w:val="008B5849"/>
    <w:rsid w:val="008B7610"/>
    <w:rsid w:val="008B7963"/>
    <w:rsid w:val="008B7E8A"/>
    <w:rsid w:val="008C05AB"/>
    <w:rsid w:val="008C144C"/>
    <w:rsid w:val="008C2C89"/>
    <w:rsid w:val="008C4F12"/>
    <w:rsid w:val="008C55A2"/>
    <w:rsid w:val="008C6DF9"/>
    <w:rsid w:val="008C7C72"/>
    <w:rsid w:val="008D0D4D"/>
    <w:rsid w:val="008D1E0E"/>
    <w:rsid w:val="008D30C3"/>
    <w:rsid w:val="008D3529"/>
    <w:rsid w:val="008D3BCD"/>
    <w:rsid w:val="008D427D"/>
    <w:rsid w:val="008D4716"/>
    <w:rsid w:val="008D4717"/>
    <w:rsid w:val="008D471E"/>
    <w:rsid w:val="008D4EDE"/>
    <w:rsid w:val="008E04B8"/>
    <w:rsid w:val="008E0C89"/>
    <w:rsid w:val="008E10D4"/>
    <w:rsid w:val="008E1327"/>
    <w:rsid w:val="008E1FA3"/>
    <w:rsid w:val="008E4D28"/>
    <w:rsid w:val="008E73D5"/>
    <w:rsid w:val="008E74DC"/>
    <w:rsid w:val="008F028F"/>
    <w:rsid w:val="008F3225"/>
    <w:rsid w:val="008F413F"/>
    <w:rsid w:val="008F5309"/>
    <w:rsid w:val="008F6294"/>
    <w:rsid w:val="008F643E"/>
    <w:rsid w:val="008F7850"/>
    <w:rsid w:val="008F78C4"/>
    <w:rsid w:val="009007A2"/>
    <w:rsid w:val="00900FED"/>
    <w:rsid w:val="0090200E"/>
    <w:rsid w:val="00902306"/>
    <w:rsid w:val="00903B0C"/>
    <w:rsid w:val="009041F1"/>
    <w:rsid w:val="00904866"/>
    <w:rsid w:val="0090748E"/>
    <w:rsid w:val="00907955"/>
    <w:rsid w:val="00910795"/>
    <w:rsid w:val="009111A3"/>
    <w:rsid w:val="00912129"/>
    <w:rsid w:val="00915429"/>
    <w:rsid w:val="009160F6"/>
    <w:rsid w:val="00917CA6"/>
    <w:rsid w:val="00922C97"/>
    <w:rsid w:val="00924D9F"/>
    <w:rsid w:val="00924F3A"/>
    <w:rsid w:val="009301A9"/>
    <w:rsid w:val="0093055C"/>
    <w:rsid w:val="00933F95"/>
    <w:rsid w:val="00936CE3"/>
    <w:rsid w:val="009405A3"/>
    <w:rsid w:val="00942897"/>
    <w:rsid w:val="00943CB4"/>
    <w:rsid w:val="00943F15"/>
    <w:rsid w:val="00945772"/>
    <w:rsid w:val="009509ED"/>
    <w:rsid w:val="00951141"/>
    <w:rsid w:val="00952042"/>
    <w:rsid w:val="00953002"/>
    <w:rsid w:val="0095398D"/>
    <w:rsid w:val="00953A6B"/>
    <w:rsid w:val="00954181"/>
    <w:rsid w:val="009541E4"/>
    <w:rsid w:val="00954257"/>
    <w:rsid w:val="00956D2E"/>
    <w:rsid w:val="00957055"/>
    <w:rsid w:val="00960563"/>
    <w:rsid w:val="00961F9F"/>
    <w:rsid w:val="00962D1C"/>
    <w:rsid w:val="00966BFB"/>
    <w:rsid w:val="00967953"/>
    <w:rsid w:val="00970114"/>
    <w:rsid w:val="00971198"/>
    <w:rsid w:val="009717EE"/>
    <w:rsid w:val="00972ECE"/>
    <w:rsid w:val="00973247"/>
    <w:rsid w:val="009750EB"/>
    <w:rsid w:val="00975BD9"/>
    <w:rsid w:val="00976625"/>
    <w:rsid w:val="009809CB"/>
    <w:rsid w:val="00980B38"/>
    <w:rsid w:val="00980C7C"/>
    <w:rsid w:val="00981D7B"/>
    <w:rsid w:val="0098205B"/>
    <w:rsid w:val="009822A7"/>
    <w:rsid w:val="009828C1"/>
    <w:rsid w:val="009837D4"/>
    <w:rsid w:val="00983D48"/>
    <w:rsid w:val="00983DC1"/>
    <w:rsid w:val="009840D7"/>
    <w:rsid w:val="0098497D"/>
    <w:rsid w:val="009856F1"/>
    <w:rsid w:val="009859B5"/>
    <w:rsid w:val="00985AF8"/>
    <w:rsid w:val="00985F25"/>
    <w:rsid w:val="00986021"/>
    <w:rsid w:val="00986DEF"/>
    <w:rsid w:val="00987F95"/>
    <w:rsid w:val="0099091E"/>
    <w:rsid w:val="00991A76"/>
    <w:rsid w:val="00991F9A"/>
    <w:rsid w:val="009929E0"/>
    <w:rsid w:val="00992D9E"/>
    <w:rsid w:val="009942EB"/>
    <w:rsid w:val="00994641"/>
    <w:rsid w:val="00994893"/>
    <w:rsid w:val="009953F9"/>
    <w:rsid w:val="009978BF"/>
    <w:rsid w:val="00997B19"/>
    <w:rsid w:val="009A05B7"/>
    <w:rsid w:val="009A05C9"/>
    <w:rsid w:val="009A0A46"/>
    <w:rsid w:val="009A187E"/>
    <w:rsid w:val="009A1E0A"/>
    <w:rsid w:val="009A1FBA"/>
    <w:rsid w:val="009A3407"/>
    <w:rsid w:val="009A451A"/>
    <w:rsid w:val="009A50C2"/>
    <w:rsid w:val="009A53BC"/>
    <w:rsid w:val="009A698F"/>
    <w:rsid w:val="009A6E82"/>
    <w:rsid w:val="009A7294"/>
    <w:rsid w:val="009B1027"/>
    <w:rsid w:val="009B15E1"/>
    <w:rsid w:val="009B2B29"/>
    <w:rsid w:val="009B3878"/>
    <w:rsid w:val="009B40E8"/>
    <w:rsid w:val="009B4462"/>
    <w:rsid w:val="009B59C4"/>
    <w:rsid w:val="009B62DA"/>
    <w:rsid w:val="009B69B7"/>
    <w:rsid w:val="009B7455"/>
    <w:rsid w:val="009B7C4B"/>
    <w:rsid w:val="009C0C8B"/>
    <w:rsid w:val="009C396A"/>
    <w:rsid w:val="009C4652"/>
    <w:rsid w:val="009C4764"/>
    <w:rsid w:val="009C52A0"/>
    <w:rsid w:val="009C68FC"/>
    <w:rsid w:val="009D0FA0"/>
    <w:rsid w:val="009D13A2"/>
    <w:rsid w:val="009D39E1"/>
    <w:rsid w:val="009D414D"/>
    <w:rsid w:val="009D489E"/>
    <w:rsid w:val="009D5B8D"/>
    <w:rsid w:val="009D7189"/>
    <w:rsid w:val="009E1599"/>
    <w:rsid w:val="009E2EB2"/>
    <w:rsid w:val="009E3AB4"/>
    <w:rsid w:val="009E47A7"/>
    <w:rsid w:val="009E5087"/>
    <w:rsid w:val="009E5853"/>
    <w:rsid w:val="009E5959"/>
    <w:rsid w:val="009E5F97"/>
    <w:rsid w:val="009E6084"/>
    <w:rsid w:val="009E7E21"/>
    <w:rsid w:val="009F1146"/>
    <w:rsid w:val="009F2405"/>
    <w:rsid w:val="009F26E3"/>
    <w:rsid w:val="009F2F45"/>
    <w:rsid w:val="009F3886"/>
    <w:rsid w:val="009F5C4E"/>
    <w:rsid w:val="00A0211D"/>
    <w:rsid w:val="00A037CD"/>
    <w:rsid w:val="00A04402"/>
    <w:rsid w:val="00A0492B"/>
    <w:rsid w:val="00A0578D"/>
    <w:rsid w:val="00A061E7"/>
    <w:rsid w:val="00A10B91"/>
    <w:rsid w:val="00A112F6"/>
    <w:rsid w:val="00A1152D"/>
    <w:rsid w:val="00A11643"/>
    <w:rsid w:val="00A1182F"/>
    <w:rsid w:val="00A11D3E"/>
    <w:rsid w:val="00A123E5"/>
    <w:rsid w:val="00A1374E"/>
    <w:rsid w:val="00A14782"/>
    <w:rsid w:val="00A151DA"/>
    <w:rsid w:val="00A171F8"/>
    <w:rsid w:val="00A17EFC"/>
    <w:rsid w:val="00A2078F"/>
    <w:rsid w:val="00A234D8"/>
    <w:rsid w:val="00A235DF"/>
    <w:rsid w:val="00A240EA"/>
    <w:rsid w:val="00A2471D"/>
    <w:rsid w:val="00A25686"/>
    <w:rsid w:val="00A26406"/>
    <w:rsid w:val="00A26831"/>
    <w:rsid w:val="00A274D6"/>
    <w:rsid w:val="00A27729"/>
    <w:rsid w:val="00A3031A"/>
    <w:rsid w:val="00A307D7"/>
    <w:rsid w:val="00A33111"/>
    <w:rsid w:val="00A332DF"/>
    <w:rsid w:val="00A33500"/>
    <w:rsid w:val="00A33C70"/>
    <w:rsid w:val="00A34166"/>
    <w:rsid w:val="00A34750"/>
    <w:rsid w:val="00A35224"/>
    <w:rsid w:val="00A3542A"/>
    <w:rsid w:val="00A35CDA"/>
    <w:rsid w:val="00A366C3"/>
    <w:rsid w:val="00A367A7"/>
    <w:rsid w:val="00A4086B"/>
    <w:rsid w:val="00A40D9C"/>
    <w:rsid w:val="00A41D1B"/>
    <w:rsid w:val="00A41FE3"/>
    <w:rsid w:val="00A44278"/>
    <w:rsid w:val="00A4458B"/>
    <w:rsid w:val="00A44B7E"/>
    <w:rsid w:val="00A465C2"/>
    <w:rsid w:val="00A47AE3"/>
    <w:rsid w:val="00A50728"/>
    <w:rsid w:val="00A51310"/>
    <w:rsid w:val="00A51A31"/>
    <w:rsid w:val="00A52BFB"/>
    <w:rsid w:val="00A52D37"/>
    <w:rsid w:val="00A532DC"/>
    <w:rsid w:val="00A5603E"/>
    <w:rsid w:val="00A57600"/>
    <w:rsid w:val="00A601F4"/>
    <w:rsid w:val="00A60439"/>
    <w:rsid w:val="00A60FD1"/>
    <w:rsid w:val="00A61122"/>
    <w:rsid w:val="00A61299"/>
    <w:rsid w:val="00A6180C"/>
    <w:rsid w:val="00A61F3A"/>
    <w:rsid w:val="00A634F4"/>
    <w:rsid w:val="00A63F2F"/>
    <w:rsid w:val="00A707B7"/>
    <w:rsid w:val="00A70985"/>
    <w:rsid w:val="00A70FE7"/>
    <w:rsid w:val="00A71792"/>
    <w:rsid w:val="00A75C60"/>
    <w:rsid w:val="00A77C0B"/>
    <w:rsid w:val="00A8139E"/>
    <w:rsid w:val="00A8286F"/>
    <w:rsid w:val="00A82D83"/>
    <w:rsid w:val="00A8484D"/>
    <w:rsid w:val="00A84A8F"/>
    <w:rsid w:val="00A84F67"/>
    <w:rsid w:val="00A85C78"/>
    <w:rsid w:val="00A85DC7"/>
    <w:rsid w:val="00A863DD"/>
    <w:rsid w:val="00A9079B"/>
    <w:rsid w:val="00A911F3"/>
    <w:rsid w:val="00A929C8"/>
    <w:rsid w:val="00A93F10"/>
    <w:rsid w:val="00A948B5"/>
    <w:rsid w:val="00A94939"/>
    <w:rsid w:val="00A96FA2"/>
    <w:rsid w:val="00A9743E"/>
    <w:rsid w:val="00A97A63"/>
    <w:rsid w:val="00A97E38"/>
    <w:rsid w:val="00AA015F"/>
    <w:rsid w:val="00AA0B61"/>
    <w:rsid w:val="00AA1560"/>
    <w:rsid w:val="00AA1D58"/>
    <w:rsid w:val="00AA2087"/>
    <w:rsid w:val="00AA2796"/>
    <w:rsid w:val="00AA2B51"/>
    <w:rsid w:val="00AA2BA2"/>
    <w:rsid w:val="00AA3366"/>
    <w:rsid w:val="00AA3923"/>
    <w:rsid w:val="00AA41D4"/>
    <w:rsid w:val="00AA4639"/>
    <w:rsid w:val="00AA59A2"/>
    <w:rsid w:val="00AB0210"/>
    <w:rsid w:val="00AB0CEF"/>
    <w:rsid w:val="00AB1375"/>
    <w:rsid w:val="00AB26F8"/>
    <w:rsid w:val="00AB2EF8"/>
    <w:rsid w:val="00AB49F7"/>
    <w:rsid w:val="00AC00EB"/>
    <w:rsid w:val="00AC1D9B"/>
    <w:rsid w:val="00AC1DBA"/>
    <w:rsid w:val="00AC2B6D"/>
    <w:rsid w:val="00AC3DB0"/>
    <w:rsid w:val="00AC4B39"/>
    <w:rsid w:val="00AC4CC0"/>
    <w:rsid w:val="00AC5AD3"/>
    <w:rsid w:val="00AC660D"/>
    <w:rsid w:val="00AD1B84"/>
    <w:rsid w:val="00AD2EBE"/>
    <w:rsid w:val="00AD3018"/>
    <w:rsid w:val="00AD48C6"/>
    <w:rsid w:val="00AD604C"/>
    <w:rsid w:val="00AD70D8"/>
    <w:rsid w:val="00AD7E4E"/>
    <w:rsid w:val="00AD7FBC"/>
    <w:rsid w:val="00AE0DC2"/>
    <w:rsid w:val="00AE1C98"/>
    <w:rsid w:val="00AE1E98"/>
    <w:rsid w:val="00AE3145"/>
    <w:rsid w:val="00AE398C"/>
    <w:rsid w:val="00AE3E58"/>
    <w:rsid w:val="00AE54EB"/>
    <w:rsid w:val="00AE5819"/>
    <w:rsid w:val="00AE5D7E"/>
    <w:rsid w:val="00AE602E"/>
    <w:rsid w:val="00AE61D2"/>
    <w:rsid w:val="00AE7380"/>
    <w:rsid w:val="00AE78F8"/>
    <w:rsid w:val="00AE7BC4"/>
    <w:rsid w:val="00AF496A"/>
    <w:rsid w:val="00AF5362"/>
    <w:rsid w:val="00AF6B4A"/>
    <w:rsid w:val="00AF7BAD"/>
    <w:rsid w:val="00AF7BEE"/>
    <w:rsid w:val="00B01BC8"/>
    <w:rsid w:val="00B031F7"/>
    <w:rsid w:val="00B03DC3"/>
    <w:rsid w:val="00B051A9"/>
    <w:rsid w:val="00B052B1"/>
    <w:rsid w:val="00B05A67"/>
    <w:rsid w:val="00B05C71"/>
    <w:rsid w:val="00B060B5"/>
    <w:rsid w:val="00B06143"/>
    <w:rsid w:val="00B06DB6"/>
    <w:rsid w:val="00B10686"/>
    <w:rsid w:val="00B10B66"/>
    <w:rsid w:val="00B10E33"/>
    <w:rsid w:val="00B11238"/>
    <w:rsid w:val="00B1188E"/>
    <w:rsid w:val="00B149D9"/>
    <w:rsid w:val="00B157E6"/>
    <w:rsid w:val="00B15CBE"/>
    <w:rsid w:val="00B165DF"/>
    <w:rsid w:val="00B1691B"/>
    <w:rsid w:val="00B16E81"/>
    <w:rsid w:val="00B1791F"/>
    <w:rsid w:val="00B21A32"/>
    <w:rsid w:val="00B220AE"/>
    <w:rsid w:val="00B24071"/>
    <w:rsid w:val="00B279EA"/>
    <w:rsid w:val="00B30169"/>
    <w:rsid w:val="00B30F43"/>
    <w:rsid w:val="00B325EB"/>
    <w:rsid w:val="00B32709"/>
    <w:rsid w:val="00B32F90"/>
    <w:rsid w:val="00B33398"/>
    <w:rsid w:val="00B33DD1"/>
    <w:rsid w:val="00B346C8"/>
    <w:rsid w:val="00B35A1A"/>
    <w:rsid w:val="00B35A58"/>
    <w:rsid w:val="00B36E15"/>
    <w:rsid w:val="00B37F86"/>
    <w:rsid w:val="00B42251"/>
    <w:rsid w:val="00B427AA"/>
    <w:rsid w:val="00B42D38"/>
    <w:rsid w:val="00B42EA9"/>
    <w:rsid w:val="00B43423"/>
    <w:rsid w:val="00B442F7"/>
    <w:rsid w:val="00B445F8"/>
    <w:rsid w:val="00B44A42"/>
    <w:rsid w:val="00B46E38"/>
    <w:rsid w:val="00B50AC3"/>
    <w:rsid w:val="00B50D25"/>
    <w:rsid w:val="00B5140E"/>
    <w:rsid w:val="00B51D8B"/>
    <w:rsid w:val="00B5355E"/>
    <w:rsid w:val="00B53A7F"/>
    <w:rsid w:val="00B5467C"/>
    <w:rsid w:val="00B54EE9"/>
    <w:rsid w:val="00B57957"/>
    <w:rsid w:val="00B60BD5"/>
    <w:rsid w:val="00B62138"/>
    <w:rsid w:val="00B62991"/>
    <w:rsid w:val="00B650B8"/>
    <w:rsid w:val="00B661F8"/>
    <w:rsid w:val="00B679BB"/>
    <w:rsid w:val="00B67FD4"/>
    <w:rsid w:val="00B708E0"/>
    <w:rsid w:val="00B72FAB"/>
    <w:rsid w:val="00B75DD0"/>
    <w:rsid w:val="00B76DB2"/>
    <w:rsid w:val="00B77126"/>
    <w:rsid w:val="00B7718F"/>
    <w:rsid w:val="00B801D9"/>
    <w:rsid w:val="00B819DC"/>
    <w:rsid w:val="00B82F19"/>
    <w:rsid w:val="00B831E5"/>
    <w:rsid w:val="00B832FC"/>
    <w:rsid w:val="00B83C84"/>
    <w:rsid w:val="00B84F46"/>
    <w:rsid w:val="00B8522C"/>
    <w:rsid w:val="00B86012"/>
    <w:rsid w:val="00B87B50"/>
    <w:rsid w:val="00B87BE5"/>
    <w:rsid w:val="00B91B0A"/>
    <w:rsid w:val="00B91D89"/>
    <w:rsid w:val="00B92882"/>
    <w:rsid w:val="00B93EAB"/>
    <w:rsid w:val="00B956E8"/>
    <w:rsid w:val="00B95736"/>
    <w:rsid w:val="00B974A5"/>
    <w:rsid w:val="00B974CA"/>
    <w:rsid w:val="00BA1878"/>
    <w:rsid w:val="00BA1C7C"/>
    <w:rsid w:val="00BA3636"/>
    <w:rsid w:val="00BA3717"/>
    <w:rsid w:val="00BA3951"/>
    <w:rsid w:val="00BA51F6"/>
    <w:rsid w:val="00BA5260"/>
    <w:rsid w:val="00BA5766"/>
    <w:rsid w:val="00BA5E39"/>
    <w:rsid w:val="00BA7812"/>
    <w:rsid w:val="00BB0665"/>
    <w:rsid w:val="00BB6786"/>
    <w:rsid w:val="00BB72AB"/>
    <w:rsid w:val="00BB74B0"/>
    <w:rsid w:val="00BB76FF"/>
    <w:rsid w:val="00BC0548"/>
    <w:rsid w:val="00BC19D5"/>
    <w:rsid w:val="00BC6CC6"/>
    <w:rsid w:val="00BC7879"/>
    <w:rsid w:val="00BD0043"/>
    <w:rsid w:val="00BD0672"/>
    <w:rsid w:val="00BD0FF3"/>
    <w:rsid w:val="00BD1A10"/>
    <w:rsid w:val="00BD3F34"/>
    <w:rsid w:val="00BD4F00"/>
    <w:rsid w:val="00BD64C3"/>
    <w:rsid w:val="00BD6F61"/>
    <w:rsid w:val="00BD709E"/>
    <w:rsid w:val="00BE0448"/>
    <w:rsid w:val="00BE2117"/>
    <w:rsid w:val="00BE3035"/>
    <w:rsid w:val="00BE34B9"/>
    <w:rsid w:val="00BE606F"/>
    <w:rsid w:val="00BE60BF"/>
    <w:rsid w:val="00BE680A"/>
    <w:rsid w:val="00BE746A"/>
    <w:rsid w:val="00BF052B"/>
    <w:rsid w:val="00BF0998"/>
    <w:rsid w:val="00BF3B8B"/>
    <w:rsid w:val="00BF408F"/>
    <w:rsid w:val="00BF4E37"/>
    <w:rsid w:val="00BF67B3"/>
    <w:rsid w:val="00BF7AA1"/>
    <w:rsid w:val="00BF7E02"/>
    <w:rsid w:val="00C003B8"/>
    <w:rsid w:val="00C01715"/>
    <w:rsid w:val="00C01995"/>
    <w:rsid w:val="00C01D8A"/>
    <w:rsid w:val="00C025AD"/>
    <w:rsid w:val="00C02613"/>
    <w:rsid w:val="00C03FB0"/>
    <w:rsid w:val="00C06EC0"/>
    <w:rsid w:val="00C07524"/>
    <w:rsid w:val="00C07D60"/>
    <w:rsid w:val="00C10850"/>
    <w:rsid w:val="00C11B90"/>
    <w:rsid w:val="00C11C69"/>
    <w:rsid w:val="00C16E82"/>
    <w:rsid w:val="00C1731A"/>
    <w:rsid w:val="00C17752"/>
    <w:rsid w:val="00C20892"/>
    <w:rsid w:val="00C21A27"/>
    <w:rsid w:val="00C22263"/>
    <w:rsid w:val="00C22320"/>
    <w:rsid w:val="00C22877"/>
    <w:rsid w:val="00C22F9A"/>
    <w:rsid w:val="00C23849"/>
    <w:rsid w:val="00C23E74"/>
    <w:rsid w:val="00C25E25"/>
    <w:rsid w:val="00C26438"/>
    <w:rsid w:val="00C27B10"/>
    <w:rsid w:val="00C27BDE"/>
    <w:rsid w:val="00C32F5C"/>
    <w:rsid w:val="00C33319"/>
    <w:rsid w:val="00C337A3"/>
    <w:rsid w:val="00C34070"/>
    <w:rsid w:val="00C37590"/>
    <w:rsid w:val="00C379BA"/>
    <w:rsid w:val="00C4081C"/>
    <w:rsid w:val="00C41236"/>
    <w:rsid w:val="00C4233B"/>
    <w:rsid w:val="00C4286D"/>
    <w:rsid w:val="00C43182"/>
    <w:rsid w:val="00C4452C"/>
    <w:rsid w:val="00C45621"/>
    <w:rsid w:val="00C458EA"/>
    <w:rsid w:val="00C46376"/>
    <w:rsid w:val="00C4662B"/>
    <w:rsid w:val="00C4700E"/>
    <w:rsid w:val="00C47A5F"/>
    <w:rsid w:val="00C501AA"/>
    <w:rsid w:val="00C50B68"/>
    <w:rsid w:val="00C50F9B"/>
    <w:rsid w:val="00C51FC3"/>
    <w:rsid w:val="00C521FF"/>
    <w:rsid w:val="00C563F1"/>
    <w:rsid w:val="00C56734"/>
    <w:rsid w:val="00C57589"/>
    <w:rsid w:val="00C57A76"/>
    <w:rsid w:val="00C629F1"/>
    <w:rsid w:val="00C66892"/>
    <w:rsid w:val="00C66B56"/>
    <w:rsid w:val="00C675E3"/>
    <w:rsid w:val="00C705C6"/>
    <w:rsid w:val="00C727FF"/>
    <w:rsid w:val="00C73541"/>
    <w:rsid w:val="00C73EDF"/>
    <w:rsid w:val="00C74464"/>
    <w:rsid w:val="00C74F21"/>
    <w:rsid w:val="00C75399"/>
    <w:rsid w:val="00C75638"/>
    <w:rsid w:val="00C758F2"/>
    <w:rsid w:val="00C76681"/>
    <w:rsid w:val="00C76E14"/>
    <w:rsid w:val="00C76EAA"/>
    <w:rsid w:val="00C77538"/>
    <w:rsid w:val="00C77C7C"/>
    <w:rsid w:val="00C800CC"/>
    <w:rsid w:val="00C801B0"/>
    <w:rsid w:val="00C80C54"/>
    <w:rsid w:val="00C81CA8"/>
    <w:rsid w:val="00C82713"/>
    <w:rsid w:val="00C82AFB"/>
    <w:rsid w:val="00C843E2"/>
    <w:rsid w:val="00C85A29"/>
    <w:rsid w:val="00C85ACB"/>
    <w:rsid w:val="00C87931"/>
    <w:rsid w:val="00C924E6"/>
    <w:rsid w:val="00C926BC"/>
    <w:rsid w:val="00C9598C"/>
    <w:rsid w:val="00C9620C"/>
    <w:rsid w:val="00C972F5"/>
    <w:rsid w:val="00C97732"/>
    <w:rsid w:val="00CA0A44"/>
    <w:rsid w:val="00CA2881"/>
    <w:rsid w:val="00CA3E61"/>
    <w:rsid w:val="00CA4523"/>
    <w:rsid w:val="00CA5C0A"/>
    <w:rsid w:val="00CA5D28"/>
    <w:rsid w:val="00CA73F9"/>
    <w:rsid w:val="00CA791C"/>
    <w:rsid w:val="00CA7CC3"/>
    <w:rsid w:val="00CA7E68"/>
    <w:rsid w:val="00CA7F3A"/>
    <w:rsid w:val="00CA7F72"/>
    <w:rsid w:val="00CB0B04"/>
    <w:rsid w:val="00CB2369"/>
    <w:rsid w:val="00CB236A"/>
    <w:rsid w:val="00CB2EA5"/>
    <w:rsid w:val="00CB362F"/>
    <w:rsid w:val="00CB5762"/>
    <w:rsid w:val="00CB6EA9"/>
    <w:rsid w:val="00CB7B7A"/>
    <w:rsid w:val="00CB7FF2"/>
    <w:rsid w:val="00CC176E"/>
    <w:rsid w:val="00CC218B"/>
    <w:rsid w:val="00CC2509"/>
    <w:rsid w:val="00CC3BDC"/>
    <w:rsid w:val="00CC475F"/>
    <w:rsid w:val="00CC47F6"/>
    <w:rsid w:val="00CC4B0C"/>
    <w:rsid w:val="00CC4BE7"/>
    <w:rsid w:val="00CC5B5F"/>
    <w:rsid w:val="00CC5DF9"/>
    <w:rsid w:val="00CC5E68"/>
    <w:rsid w:val="00CC62D6"/>
    <w:rsid w:val="00CC6BAC"/>
    <w:rsid w:val="00CD173C"/>
    <w:rsid w:val="00CD24C4"/>
    <w:rsid w:val="00CD28EA"/>
    <w:rsid w:val="00CD3EA1"/>
    <w:rsid w:val="00CD541E"/>
    <w:rsid w:val="00CD56AE"/>
    <w:rsid w:val="00CD65EE"/>
    <w:rsid w:val="00CD6725"/>
    <w:rsid w:val="00CD68B1"/>
    <w:rsid w:val="00CD72BF"/>
    <w:rsid w:val="00CE055E"/>
    <w:rsid w:val="00CE2BDB"/>
    <w:rsid w:val="00CE30A7"/>
    <w:rsid w:val="00CE42EE"/>
    <w:rsid w:val="00CE60AC"/>
    <w:rsid w:val="00CE728D"/>
    <w:rsid w:val="00CE7CFB"/>
    <w:rsid w:val="00CF0A48"/>
    <w:rsid w:val="00CF1518"/>
    <w:rsid w:val="00CF4592"/>
    <w:rsid w:val="00CF51F0"/>
    <w:rsid w:val="00CF6788"/>
    <w:rsid w:val="00D01791"/>
    <w:rsid w:val="00D028C2"/>
    <w:rsid w:val="00D02DA5"/>
    <w:rsid w:val="00D06CC7"/>
    <w:rsid w:val="00D07B7A"/>
    <w:rsid w:val="00D106DD"/>
    <w:rsid w:val="00D13786"/>
    <w:rsid w:val="00D13B70"/>
    <w:rsid w:val="00D20025"/>
    <w:rsid w:val="00D20465"/>
    <w:rsid w:val="00D20827"/>
    <w:rsid w:val="00D20C2D"/>
    <w:rsid w:val="00D21C4F"/>
    <w:rsid w:val="00D222DB"/>
    <w:rsid w:val="00D238E1"/>
    <w:rsid w:val="00D24C85"/>
    <w:rsid w:val="00D24D8F"/>
    <w:rsid w:val="00D271C3"/>
    <w:rsid w:val="00D27B99"/>
    <w:rsid w:val="00D30527"/>
    <w:rsid w:val="00D309EE"/>
    <w:rsid w:val="00D30EF8"/>
    <w:rsid w:val="00D36398"/>
    <w:rsid w:val="00D36711"/>
    <w:rsid w:val="00D406ED"/>
    <w:rsid w:val="00D41509"/>
    <w:rsid w:val="00D421EE"/>
    <w:rsid w:val="00D42E34"/>
    <w:rsid w:val="00D42F16"/>
    <w:rsid w:val="00D42F4E"/>
    <w:rsid w:val="00D433C2"/>
    <w:rsid w:val="00D434D2"/>
    <w:rsid w:val="00D44B6A"/>
    <w:rsid w:val="00D44F68"/>
    <w:rsid w:val="00D46BBA"/>
    <w:rsid w:val="00D47AE8"/>
    <w:rsid w:val="00D50E61"/>
    <w:rsid w:val="00D51399"/>
    <w:rsid w:val="00D52EF0"/>
    <w:rsid w:val="00D54402"/>
    <w:rsid w:val="00D57850"/>
    <w:rsid w:val="00D57F23"/>
    <w:rsid w:val="00D61FFA"/>
    <w:rsid w:val="00D629CB"/>
    <w:rsid w:val="00D638AD"/>
    <w:rsid w:val="00D64DB5"/>
    <w:rsid w:val="00D64EA1"/>
    <w:rsid w:val="00D66069"/>
    <w:rsid w:val="00D66B07"/>
    <w:rsid w:val="00D66E2B"/>
    <w:rsid w:val="00D67B63"/>
    <w:rsid w:val="00D7040A"/>
    <w:rsid w:val="00D70D3B"/>
    <w:rsid w:val="00D73B33"/>
    <w:rsid w:val="00D74F46"/>
    <w:rsid w:val="00D755AA"/>
    <w:rsid w:val="00D806B9"/>
    <w:rsid w:val="00D8089A"/>
    <w:rsid w:val="00D81336"/>
    <w:rsid w:val="00D824E9"/>
    <w:rsid w:val="00D855AA"/>
    <w:rsid w:val="00D85A40"/>
    <w:rsid w:val="00D8656E"/>
    <w:rsid w:val="00D86645"/>
    <w:rsid w:val="00D873A3"/>
    <w:rsid w:val="00D91E82"/>
    <w:rsid w:val="00D929C1"/>
    <w:rsid w:val="00D939C2"/>
    <w:rsid w:val="00D93B6E"/>
    <w:rsid w:val="00D96155"/>
    <w:rsid w:val="00D97CF2"/>
    <w:rsid w:val="00DA1BC4"/>
    <w:rsid w:val="00DA1FE4"/>
    <w:rsid w:val="00DA3D84"/>
    <w:rsid w:val="00DA5636"/>
    <w:rsid w:val="00DA6575"/>
    <w:rsid w:val="00DA6F10"/>
    <w:rsid w:val="00DA76C8"/>
    <w:rsid w:val="00DA7BFE"/>
    <w:rsid w:val="00DB044F"/>
    <w:rsid w:val="00DB0898"/>
    <w:rsid w:val="00DB4A4B"/>
    <w:rsid w:val="00DB510C"/>
    <w:rsid w:val="00DB552C"/>
    <w:rsid w:val="00DB6345"/>
    <w:rsid w:val="00DB7140"/>
    <w:rsid w:val="00DC014F"/>
    <w:rsid w:val="00DC0E02"/>
    <w:rsid w:val="00DC2F4C"/>
    <w:rsid w:val="00DC300E"/>
    <w:rsid w:val="00DC3D27"/>
    <w:rsid w:val="00DC4E4A"/>
    <w:rsid w:val="00DC5859"/>
    <w:rsid w:val="00DC6219"/>
    <w:rsid w:val="00DC6E93"/>
    <w:rsid w:val="00DD004E"/>
    <w:rsid w:val="00DD0C91"/>
    <w:rsid w:val="00DD0D24"/>
    <w:rsid w:val="00DD30DB"/>
    <w:rsid w:val="00DD328E"/>
    <w:rsid w:val="00DD385E"/>
    <w:rsid w:val="00DD3B63"/>
    <w:rsid w:val="00DD537E"/>
    <w:rsid w:val="00DD5490"/>
    <w:rsid w:val="00DD678E"/>
    <w:rsid w:val="00DD6BA1"/>
    <w:rsid w:val="00DD7A67"/>
    <w:rsid w:val="00DE1B38"/>
    <w:rsid w:val="00DE1E65"/>
    <w:rsid w:val="00DE41AD"/>
    <w:rsid w:val="00DE4DC9"/>
    <w:rsid w:val="00DE7968"/>
    <w:rsid w:val="00DE79F0"/>
    <w:rsid w:val="00DE7B2D"/>
    <w:rsid w:val="00DE7F64"/>
    <w:rsid w:val="00DF0A6A"/>
    <w:rsid w:val="00DF16EC"/>
    <w:rsid w:val="00DF1868"/>
    <w:rsid w:val="00DF1D8C"/>
    <w:rsid w:val="00DF2081"/>
    <w:rsid w:val="00DF2A99"/>
    <w:rsid w:val="00DF37A9"/>
    <w:rsid w:val="00DF3B45"/>
    <w:rsid w:val="00DF3D0E"/>
    <w:rsid w:val="00DF5394"/>
    <w:rsid w:val="00DF6BC2"/>
    <w:rsid w:val="00E0086A"/>
    <w:rsid w:val="00E00C4A"/>
    <w:rsid w:val="00E010C1"/>
    <w:rsid w:val="00E027C9"/>
    <w:rsid w:val="00E027F5"/>
    <w:rsid w:val="00E0404D"/>
    <w:rsid w:val="00E06D2A"/>
    <w:rsid w:val="00E07214"/>
    <w:rsid w:val="00E075AE"/>
    <w:rsid w:val="00E07D99"/>
    <w:rsid w:val="00E1149D"/>
    <w:rsid w:val="00E11967"/>
    <w:rsid w:val="00E128DF"/>
    <w:rsid w:val="00E12959"/>
    <w:rsid w:val="00E12A2A"/>
    <w:rsid w:val="00E12EE2"/>
    <w:rsid w:val="00E13F74"/>
    <w:rsid w:val="00E15B00"/>
    <w:rsid w:val="00E201B5"/>
    <w:rsid w:val="00E20B17"/>
    <w:rsid w:val="00E20BE2"/>
    <w:rsid w:val="00E2236F"/>
    <w:rsid w:val="00E243E3"/>
    <w:rsid w:val="00E25018"/>
    <w:rsid w:val="00E25278"/>
    <w:rsid w:val="00E25330"/>
    <w:rsid w:val="00E25737"/>
    <w:rsid w:val="00E27AC0"/>
    <w:rsid w:val="00E30D83"/>
    <w:rsid w:val="00E30F21"/>
    <w:rsid w:val="00E323D4"/>
    <w:rsid w:val="00E32929"/>
    <w:rsid w:val="00E32930"/>
    <w:rsid w:val="00E354D3"/>
    <w:rsid w:val="00E35CEF"/>
    <w:rsid w:val="00E36B29"/>
    <w:rsid w:val="00E401A9"/>
    <w:rsid w:val="00E40444"/>
    <w:rsid w:val="00E41D3A"/>
    <w:rsid w:val="00E4320D"/>
    <w:rsid w:val="00E43B8D"/>
    <w:rsid w:val="00E45843"/>
    <w:rsid w:val="00E458C9"/>
    <w:rsid w:val="00E45E93"/>
    <w:rsid w:val="00E468D7"/>
    <w:rsid w:val="00E51687"/>
    <w:rsid w:val="00E51D13"/>
    <w:rsid w:val="00E520E5"/>
    <w:rsid w:val="00E52626"/>
    <w:rsid w:val="00E53E0C"/>
    <w:rsid w:val="00E55217"/>
    <w:rsid w:val="00E55B38"/>
    <w:rsid w:val="00E5660A"/>
    <w:rsid w:val="00E5776F"/>
    <w:rsid w:val="00E6033C"/>
    <w:rsid w:val="00E60B57"/>
    <w:rsid w:val="00E62299"/>
    <w:rsid w:val="00E62A4A"/>
    <w:rsid w:val="00E63140"/>
    <w:rsid w:val="00E63CE2"/>
    <w:rsid w:val="00E64082"/>
    <w:rsid w:val="00E65029"/>
    <w:rsid w:val="00E70469"/>
    <w:rsid w:val="00E70C35"/>
    <w:rsid w:val="00E70D23"/>
    <w:rsid w:val="00E71986"/>
    <w:rsid w:val="00E75CB7"/>
    <w:rsid w:val="00E760E2"/>
    <w:rsid w:val="00E76882"/>
    <w:rsid w:val="00E76909"/>
    <w:rsid w:val="00E76F58"/>
    <w:rsid w:val="00E77384"/>
    <w:rsid w:val="00E808D5"/>
    <w:rsid w:val="00E8095E"/>
    <w:rsid w:val="00E80B84"/>
    <w:rsid w:val="00E80C8A"/>
    <w:rsid w:val="00E80DB9"/>
    <w:rsid w:val="00E80DE6"/>
    <w:rsid w:val="00E83CFD"/>
    <w:rsid w:val="00E84BEF"/>
    <w:rsid w:val="00E85415"/>
    <w:rsid w:val="00E855A2"/>
    <w:rsid w:val="00E87AB0"/>
    <w:rsid w:val="00E909DB"/>
    <w:rsid w:val="00E92ADC"/>
    <w:rsid w:val="00E92FE1"/>
    <w:rsid w:val="00E943DA"/>
    <w:rsid w:val="00E9519F"/>
    <w:rsid w:val="00E95230"/>
    <w:rsid w:val="00E96BFF"/>
    <w:rsid w:val="00EA0980"/>
    <w:rsid w:val="00EA13CE"/>
    <w:rsid w:val="00EA27FB"/>
    <w:rsid w:val="00EA2836"/>
    <w:rsid w:val="00EA2AB4"/>
    <w:rsid w:val="00EA310A"/>
    <w:rsid w:val="00EA4B37"/>
    <w:rsid w:val="00EA507B"/>
    <w:rsid w:val="00EA797D"/>
    <w:rsid w:val="00EB04F0"/>
    <w:rsid w:val="00EB1C73"/>
    <w:rsid w:val="00EB1E6E"/>
    <w:rsid w:val="00EB230F"/>
    <w:rsid w:val="00EB4906"/>
    <w:rsid w:val="00EB4B36"/>
    <w:rsid w:val="00EB5D3F"/>
    <w:rsid w:val="00EB7E06"/>
    <w:rsid w:val="00EC02DD"/>
    <w:rsid w:val="00EC0463"/>
    <w:rsid w:val="00EC125D"/>
    <w:rsid w:val="00EC21D1"/>
    <w:rsid w:val="00EC2732"/>
    <w:rsid w:val="00EC5844"/>
    <w:rsid w:val="00EC64D5"/>
    <w:rsid w:val="00EC6F26"/>
    <w:rsid w:val="00ED09F8"/>
    <w:rsid w:val="00ED0A32"/>
    <w:rsid w:val="00ED608C"/>
    <w:rsid w:val="00ED6207"/>
    <w:rsid w:val="00EE0DC5"/>
    <w:rsid w:val="00EE1086"/>
    <w:rsid w:val="00EF070B"/>
    <w:rsid w:val="00EF083B"/>
    <w:rsid w:val="00EF2DDE"/>
    <w:rsid w:val="00EF3914"/>
    <w:rsid w:val="00EF3987"/>
    <w:rsid w:val="00EF3C01"/>
    <w:rsid w:val="00EF42A1"/>
    <w:rsid w:val="00EF5DDD"/>
    <w:rsid w:val="00EF5F57"/>
    <w:rsid w:val="00EF74EA"/>
    <w:rsid w:val="00EF776F"/>
    <w:rsid w:val="00EF7CE5"/>
    <w:rsid w:val="00F00C98"/>
    <w:rsid w:val="00F01EF5"/>
    <w:rsid w:val="00F02EFD"/>
    <w:rsid w:val="00F041E4"/>
    <w:rsid w:val="00F045B7"/>
    <w:rsid w:val="00F04FA5"/>
    <w:rsid w:val="00F066E3"/>
    <w:rsid w:val="00F06D33"/>
    <w:rsid w:val="00F07720"/>
    <w:rsid w:val="00F11C61"/>
    <w:rsid w:val="00F13289"/>
    <w:rsid w:val="00F13DA2"/>
    <w:rsid w:val="00F14BAF"/>
    <w:rsid w:val="00F14DB2"/>
    <w:rsid w:val="00F15BC0"/>
    <w:rsid w:val="00F15D3F"/>
    <w:rsid w:val="00F21256"/>
    <w:rsid w:val="00F23AE7"/>
    <w:rsid w:val="00F24150"/>
    <w:rsid w:val="00F2425A"/>
    <w:rsid w:val="00F26B06"/>
    <w:rsid w:val="00F278B8"/>
    <w:rsid w:val="00F27B33"/>
    <w:rsid w:val="00F27BCF"/>
    <w:rsid w:val="00F30AA5"/>
    <w:rsid w:val="00F30BBE"/>
    <w:rsid w:val="00F30DF5"/>
    <w:rsid w:val="00F30EA3"/>
    <w:rsid w:val="00F3108B"/>
    <w:rsid w:val="00F31757"/>
    <w:rsid w:val="00F33B4F"/>
    <w:rsid w:val="00F3489C"/>
    <w:rsid w:val="00F34D66"/>
    <w:rsid w:val="00F35337"/>
    <w:rsid w:val="00F35C40"/>
    <w:rsid w:val="00F37692"/>
    <w:rsid w:val="00F37E0B"/>
    <w:rsid w:val="00F37F8C"/>
    <w:rsid w:val="00F40250"/>
    <w:rsid w:val="00F40DD3"/>
    <w:rsid w:val="00F41B2C"/>
    <w:rsid w:val="00F45507"/>
    <w:rsid w:val="00F46F5A"/>
    <w:rsid w:val="00F4769E"/>
    <w:rsid w:val="00F50970"/>
    <w:rsid w:val="00F531B0"/>
    <w:rsid w:val="00F534F7"/>
    <w:rsid w:val="00F53B53"/>
    <w:rsid w:val="00F5460E"/>
    <w:rsid w:val="00F563A2"/>
    <w:rsid w:val="00F5709A"/>
    <w:rsid w:val="00F57149"/>
    <w:rsid w:val="00F60AA8"/>
    <w:rsid w:val="00F6266F"/>
    <w:rsid w:val="00F62A16"/>
    <w:rsid w:val="00F634E1"/>
    <w:rsid w:val="00F644EC"/>
    <w:rsid w:val="00F65DB4"/>
    <w:rsid w:val="00F669BC"/>
    <w:rsid w:val="00F66C0B"/>
    <w:rsid w:val="00F66C98"/>
    <w:rsid w:val="00F7126B"/>
    <w:rsid w:val="00F71A82"/>
    <w:rsid w:val="00F72278"/>
    <w:rsid w:val="00F72420"/>
    <w:rsid w:val="00F72D4C"/>
    <w:rsid w:val="00F73163"/>
    <w:rsid w:val="00F7398A"/>
    <w:rsid w:val="00F80A68"/>
    <w:rsid w:val="00F818E6"/>
    <w:rsid w:val="00F81DF3"/>
    <w:rsid w:val="00F82BFC"/>
    <w:rsid w:val="00F845EB"/>
    <w:rsid w:val="00F84A28"/>
    <w:rsid w:val="00F865CA"/>
    <w:rsid w:val="00F87A7F"/>
    <w:rsid w:val="00F87AA2"/>
    <w:rsid w:val="00F9096B"/>
    <w:rsid w:val="00F91C49"/>
    <w:rsid w:val="00F93272"/>
    <w:rsid w:val="00F9373B"/>
    <w:rsid w:val="00F940E0"/>
    <w:rsid w:val="00F94A2C"/>
    <w:rsid w:val="00F951DF"/>
    <w:rsid w:val="00F95733"/>
    <w:rsid w:val="00F974C5"/>
    <w:rsid w:val="00F978BA"/>
    <w:rsid w:val="00FA2A3F"/>
    <w:rsid w:val="00FA2DE2"/>
    <w:rsid w:val="00FA387D"/>
    <w:rsid w:val="00FA397A"/>
    <w:rsid w:val="00FA3F33"/>
    <w:rsid w:val="00FA4199"/>
    <w:rsid w:val="00FA4EC0"/>
    <w:rsid w:val="00FA5E5C"/>
    <w:rsid w:val="00FA62A6"/>
    <w:rsid w:val="00FA788E"/>
    <w:rsid w:val="00FA7E81"/>
    <w:rsid w:val="00FB11B1"/>
    <w:rsid w:val="00FB13FD"/>
    <w:rsid w:val="00FB4007"/>
    <w:rsid w:val="00FB5B4D"/>
    <w:rsid w:val="00FB6611"/>
    <w:rsid w:val="00FB7CB6"/>
    <w:rsid w:val="00FC0D78"/>
    <w:rsid w:val="00FC17F7"/>
    <w:rsid w:val="00FC21FE"/>
    <w:rsid w:val="00FC2814"/>
    <w:rsid w:val="00FC2DC4"/>
    <w:rsid w:val="00FC3A8D"/>
    <w:rsid w:val="00FC6020"/>
    <w:rsid w:val="00FD07D0"/>
    <w:rsid w:val="00FD195D"/>
    <w:rsid w:val="00FD1C2D"/>
    <w:rsid w:val="00FD1D0D"/>
    <w:rsid w:val="00FD1EC0"/>
    <w:rsid w:val="00FD3DC9"/>
    <w:rsid w:val="00FD636C"/>
    <w:rsid w:val="00FD64F1"/>
    <w:rsid w:val="00FE05C2"/>
    <w:rsid w:val="00FE187D"/>
    <w:rsid w:val="00FE1BB1"/>
    <w:rsid w:val="00FE1CC6"/>
    <w:rsid w:val="00FE241F"/>
    <w:rsid w:val="00FE40AB"/>
    <w:rsid w:val="00FE5F09"/>
    <w:rsid w:val="00FE62FE"/>
    <w:rsid w:val="00FE6740"/>
    <w:rsid w:val="00FE6759"/>
    <w:rsid w:val="00FE73B6"/>
    <w:rsid w:val="00FE76F7"/>
    <w:rsid w:val="00FF2451"/>
    <w:rsid w:val="00FF370F"/>
    <w:rsid w:val="00FF4023"/>
    <w:rsid w:val="00FF514D"/>
    <w:rsid w:val="00FF535E"/>
    <w:rsid w:val="00FF5981"/>
    <w:rsid w:val="00FF5BC0"/>
    <w:rsid w:val="00FF7009"/>
    <w:rsid w:val="00FF7108"/>
    <w:rsid w:val="00FF7B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DF46A7D"/>
  <w15:docId w15:val="{76E3B89D-B8C2-434E-9E7E-3A834C52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DF8"/>
    <w:pPr>
      <w:overflowPunct w:val="0"/>
      <w:autoSpaceDE w:val="0"/>
      <w:autoSpaceDN w:val="0"/>
      <w:adjustRightInd w:val="0"/>
      <w:textAlignment w:val="baseline"/>
    </w:pPr>
  </w:style>
  <w:style w:type="paragraph" w:styleId="Heading1">
    <w:name w:val="heading 1"/>
    <w:basedOn w:val="Normal"/>
    <w:next w:val="Normal"/>
    <w:qFormat/>
    <w:rsid w:val="00374DF8"/>
    <w:pPr>
      <w:keepNext/>
      <w:tabs>
        <w:tab w:val="left" w:pos="284"/>
      </w:tabs>
      <w:ind w:left="284"/>
      <w:jc w:val="both"/>
      <w:outlineLvl w:val="0"/>
    </w:pPr>
    <w:rPr>
      <w:rFonts w:cs="Simplified Arabic"/>
      <w:b/>
      <w:bCs/>
      <w:i/>
      <w:iCs/>
      <w:sz w:val="18"/>
      <w:szCs w:val="18"/>
    </w:rPr>
  </w:style>
  <w:style w:type="paragraph" w:styleId="Heading2">
    <w:name w:val="heading 2"/>
    <w:basedOn w:val="Normal"/>
    <w:next w:val="Normal"/>
    <w:qFormat/>
    <w:rsid w:val="00374DF8"/>
    <w:pPr>
      <w:keepNext/>
      <w:jc w:val="both"/>
      <w:outlineLvl w:val="1"/>
    </w:pPr>
    <w:rPr>
      <w:b/>
      <w:bCs/>
    </w:rPr>
  </w:style>
  <w:style w:type="paragraph" w:styleId="Heading3">
    <w:name w:val="heading 3"/>
    <w:basedOn w:val="Normal"/>
    <w:next w:val="Normal"/>
    <w:link w:val="Heading3Char"/>
    <w:uiPriority w:val="9"/>
    <w:semiHidden/>
    <w:unhideWhenUsed/>
    <w:qFormat/>
    <w:rsid w:val="00445C45"/>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711FD7"/>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qFormat/>
    <w:rsid w:val="00374DF8"/>
    <w:pPr>
      <w:keepNext/>
      <w:overflowPunct/>
      <w:autoSpaceDE/>
      <w:autoSpaceDN/>
      <w:bidi/>
      <w:adjustRightInd/>
      <w:jc w:val="center"/>
      <w:textAlignment w:val="auto"/>
      <w:outlineLvl w:val="5"/>
    </w:pPr>
    <w:rPr>
      <w:rFonts w:cs="Simplified Arabic"/>
      <w:b/>
      <w:bCs/>
    </w:rPr>
  </w:style>
  <w:style w:type="paragraph" w:styleId="Heading7">
    <w:name w:val="heading 7"/>
    <w:basedOn w:val="Normal"/>
    <w:next w:val="Normal"/>
    <w:link w:val="Heading7Char"/>
    <w:uiPriority w:val="9"/>
    <w:semiHidden/>
    <w:unhideWhenUsed/>
    <w:qFormat/>
    <w:rsid w:val="00396F3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65B2"/>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4065B2"/>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374DF8"/>
    <w:pPr>
      <w:tabs>
        <w:tab w:val="center" w:pos="4153"/>
        <w:tab w:val="right" w:pos="8306"/>
      </w:tabs>
    </w:pPr>
  </w:style>
  <w:style w:type="paragraph" w:styleId="Footer">
    <w:name w:val="footer"/>
    <w:basedOn w:val="Normal"/>
    <w:link w:val="FooterChar"/>
    <w:uiPriority w:val="99"/>
    <w:rsid w:val="00374DF8"/>
    <w:pPr>
      <w:tabs>
        <w:tab w:val="center" w:pos="4153"/>
        <w:tab w:val="right" w:pos="8306"/>
      </w:tabs>
    </w:pPr>
  </w:style>
  <w:style w:type="paragraph" w:styleId="BodyTextIndent">
    <w:name w:val="Body Text Indent"/>
    <w:basedOn w:val="Normal"/>
    <w:link w:val="BodyTextIndentChar"/>
    <w:semiHidden/>
    <w:rsid w:val="00374DF8"/>
    <w:pPr>
      <w:overflowPunct/>
      <w:autoSpaceDE/>
      <w:autoSpaceDN/>
      <w:bidi/>
      <w:adjustRightInd/>
      <w:ind w:hanging="1"/>
      <w:jc w:val="lowKashida"/>
      <w:textAlignment w:val="auto"/>
    </w:pPr>
    <w:rPr>
      <w:rFonts w:cs="Simplified Arabic"/>
    </w:rPr>
  </w:style>
  <w:style w:type="character" w:styleId="FootnoteReference">
    <w:name w:val="footnote reference"/>
    <w:basedOn w:val="DefaultParagraphFont"/>
    <w:semiHidden/>
    <w:rsid w:val="00374DF8"/>
    <w:rPr>
      <w:vertAlign w:val="superscript"/>
    </w:rPr>
  </w:style>
  <w:style w:type="paragraph" w:styleId="BodyTextIndent2">
    <w:name w:val="Body Text Indent 2"/>
    <w:basedOn w:val="Normal"/>
    <w:semiHidden/>
    <w:rsid w:val="00374DF8"/>
    <w:pPr>
      <w:numPr>
        <w:ilvl w:val="12"/>
      </w:numPr>
      <w:overflowPunct/>
      <w:autoSpaceDE/>
      <w:autoSpaceDN/>
      <w:adjustRightInd/>
      <w:ind w:left="142"/>
      <w:jc w:val="lowKashida"/>
      <w:textAlignment w:val="auto"/>
    </w:pPr>
    <w:rPr>
      <w:rFonts w:cs="Traditional Arabic"/>
      <w:sz w:val="24"/>
    </w:rPr>
  </w:style>
  <w:style w:type="paragraph" w:styleId="BodyText2">
    <w:name w:val="Body Text 2"/>
    <w:basedOn w:val="Normal"/>
    <w:link w:val="BodyText2Char"/>
    <w:semiHidden/>
    <w:rsid w:val="00374DF8"/>
    <w:pPr>
      <w:overflowPunct/>
      <w:autoSpaceDE/>
      <w:autoSpaceDN/>
      <w:bidi/>
      <w:adjustRightInd/>
      <w:jc w:val="lowKashida"/>
      <w:textAlignment w:val="auto"/>
    </w:pPr>
    <w:rPr>
      <w:rFonts w:cs="Simplified Arabic"/>
    </w:rPr>
  </w:style>
  <w:style w:type="paragraph" w:styleId="FootnoteText">
    <w:name w:val="footnote text"/>
    <w:basedOn w:val="Normal"/>
    <w:link w:val="FootnoteTextChar"/>
    <w:semiHidden/>
    <w:rsid w:val="00374DF8"/>
    <w:pPr>
      <w:overflowPunct/>
      <w:autoSpaceDE/>
      <w:autoSpaceDN/>
      <w:bidi/>
      <w:adjustRightInd/>
      <w:textAlignment w:val="auto"/>
    </w:pPr>
    <w:rPr>
      <w:rFonts w:cs="Traditional Arabic"/>
    </w:rPr>
  </w:style>
  <w:style w:type="paragraph" w:styleId="BodyText">
    <w:name w:val="Body Text"/>
    <w:basedOn w:val="Normal"/>
    <w:semiHidden/>
    <w:rsid w:val="00374DF8"/>
    <w:pPr>
      <w:tabs>
        <w:tab w:val="left" w:pos="0"/>
      </w:tabs>
      <w:overflowPunct/>
      <w:autoSpaceDE/>
      <w:autoSpaceDN/>
      <w:bidi/>
      <w:adjustRightInd/>
      <w:jc w:val="lowKashida"/>
      <w:textAlignment w:val="auto"/>
    </w:pPr>
    <w:rPr>
      <w:rFonts w:cs="Simplified Arabic"/>
    </w:rPr>
  </w:style>
  <w:style w:type="paragraph" w:styleId="Title">
    <w:name w:val="Title"/>
    <w:basedOn w:val="Normal"/>
    <w:link w:val="TitleChar"/>
    <w:qFormat/>
    <w:rsid w:val="00374DF8"/>
    <w:pPr>
      <w:overflowPunct/>
      <w:autoSpaceDE/>
      <w:autoSpaceDN/>
      <w:bidi/>
      <w:adjustRightInd/>
      <w:jc w:val="center"/>
      <w:textAlignment w:val="auto"/>
    </w:pPr>
    <w:rPr>
      <w:rFonts w:cs="Simplified Arabic"/>
      <w:b/>
      <w:bCs/>
    </w:rPr>
  </w:style>
  <w:style w:type="paragraph" w:styleId="BodyTextIndent3">
    <w:name w:val="Body Text Indent 3"/>
    <w:basedOn w:val="Normal"/>
    <w:semiHidden/>
    <w:rsid w:val="00374DF8"/>
    <w:pPr>
      <w:ind w:left="284"/>
    </w:pPr>
  </w:style>
  <w:style w:type="character" w:styleId="PageNumber">
    <w:name w:val="page number"/>
    <w:basedOn w:val="DefaultParagraphFont"/>
    <w:semiHidden/>
    <w:rsid w:val="00374DF8"/>
  </w:style>
  <w:style w:type="paragraph" w:styleId="BodyText3">
    <w:name w:val="Body Text 3"/>
    <w:basedOn w:val="Normal"/>
    <w:semiHidden/>
    <w:rsid w:val="00374DF8"/>
    <w:pPr>
      <w:ind w:right="282"/>
      <w:jc w:val="both"/>
    </w:pPr>
    <w:rPr>
      <w:rFonts w:cs="Simplified Arabic"/>
    </w:rPr>
  </w:style>
  <w:style w:type="paragraph" w:styleId="BalloonText">
    <w:name w:val="Balloon Text"/>
    <w:basedOn w:val="Normal"/>
    <w:link w:val="BalloonTextChar"/>
    <w:uiPriority w:val="99"/>
    <w:semiHidden/>
    <w:unhideWhenUsed/>
    <w:rsid w:val="00797225"/>
    <w:rPr>
      <w:rFonts w:ascii="Tahoma" w:hAnsi="Tahoma" w:cs="Tahoma"/>
      <w:sz w:val="16"/>
      <w:szCs w:val="16"/>
    </w:rPr>
  </w:style>
  <w:style w:type="character" w:customStyle="1" w:styleId="BalloonTextChar">
    <w:name w:val="Balloon Text Char"/>
    <w:basedOn w:val="DefaultParagraphFont"/>
    <w:link w:val="BalloonText"/>
    <w:uiPriority w:val="99"/>
    <w:semiHidden/>
    <w:rsid w:val="00797225"/>
    <w:rPr>
      <w:rFonts w:ascii="Tahoma" w:hAnsi="Tahoma" w:cs="Tahoma"/>
      <w:sz w:val="16"/>
      <w:szCs w:val="16"/>
    </w:rPr>
  </w:style>
  <w:style w:type="paragraph" w:styleId="ListParagraph">
    <w:name w:val="List Paragraph"/>
    <w:basedOn w:val="Normal"/>
    <w:uiPriority w:val="34"/>
    <w:qFormat/>
    <w:rsid w:val="003E3F51"/>
    <w:pPr>
      <w:ind w:left="720"/>
    </w:pPr>
  </w:style>
  <w:style w:type="character" w:customStyle="1" w:styleId="BodyText2Char">
    <w:name w:val="Body Text 2 Char"/>
    <w:basedOn w:val="DefaultParagraphFont"/>
    <w:link w:val="BodyText2"/>
    <w:semiHidden/>
    <w:rsid w:val="00973247"/>
    <w:rPr>
      <w:rFonts w:cs="Simplified Arabic"/>
    </w:rPr>
  </w:style>
  <w:style w:type="character" w:customStyle="1" w:styleId="longtext">
    <w:name w:val="long_text"/>
    <w:basedOn w:val="DefaultParagraphFont"/>
    <w:rsid w:val="000617B7"/>
  </w:style>
  <w:style w:type="character" w:customStyle="1" w:styleId="hps">
    <w:name w:val="hps"/>
    <w:basedOn w:val="DefaultParagraphFont"/>
    <w:rsid w:val="000617B7"/>
  </w:style>
  <w:style w:type="character" w:customStyle="1" w:styleId="FooterChar">
    <w:name w:val="Footer Char"/>
    <w:basedOn w:val="DefaultParagraphFont"/>
    <w:link w:val="Footer"/>
    <w:uiPriority w:val="99"/>
    <w:rsid w:val="000A4CFE"/>
  </w:style>
  <w:style w:type="character" w:customStyle="1" w:styleId="BodyTextIndentChar">
    <w:name w:val="Body Text Indent Char"/>
    <w:basedOn w:val="DefaultParagraphFont"/>
    <w:link w:val="BodyTextIndent"/>
    <w:semiHidden/>
    <w:rsid w:val="005971FF"/>
    <w:rPr>
      <w:rFonts w:cs="Simplified Arabic"/>
    </w:rPr>
  </w:style>
  <w:style w:type="character" w:customStyle="1" w:styleId="shorttext">
    <w:name w:val="short_text"/>
    <w:basedOn w:val="DefaultParagraphFont"/>
    <w:rsid w:val="00DB6345"/>
  </w:style>
  <w:style w:type="character" w:customStyle="1" w:styleId="TitleChar">
    <w:name w:val="Title Char"/>
    <w:basedOn w:val="DefaultParagraphFont"/>
    <w:link w:val="Title"/>
    <w:locked/>
    <w:rsid w:val="00762BD2"/>
    <w:rPr>
      <w:rFonts w:cs="Simplified Arabic"/>
      <w:b/>
      <w:bCs/>
    </w:rPr>
  </w:style>
  <w:style w:type="character" w:customStyle="1" w:styleId="Heading7Char">
    <w:name w:val="Heading 7 Char"/>
    <w:basedOn w:val="DefaultParagraphFont"/>
    <w:link w:val="Heading7"/>
    <w:uiPriority w:val="9"/>
    <w:semiHidden/>
    <w:rsid w:val="00396F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065B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4065B2"/>
    <w:rPr>
      <w:rFonts w:asciiTheme="majorHAnsi" w:eastAsiaTheme="majorEastAsia" w:hAnsiTheme="majorHAnsi" w:cstheme="majorBidi"/>
      <w:i/>
      <w:iCs/>
      <w:color w:val="404040" w:themeColor="text1" w:themeTint="BF"/>
    </w:rPr>
  </w:style>
  <w:style w:type="character" w:customStyle="1" w:styleId="Heading3Char">
    <w:name w:val="Heading 3 Char"/>
    <w:basedOn w:val="DefaultParagraphFont"/>
    <w:link w:val="Heading3"/>
    <w:uiPriority w:val="9"/>
    <w:semiHidden/>
    <w:rsid w:val="00445C45"/>
    <w:rPr>
      <w:rFonts w:asciiTheme="majorHAnsi" w:eastAsiaTheme="majorEastAsia" w:hAnsiTheme="majorHAnsi" w:cstheme="majorBidi"/>
      <w:b/>
      <w:bCs/>
      <w:color w:val="4F81BD" w:themeColor="accent1"/>
    </w:rPr>
  </w:style>
  <w:style w:type="paragraph" w:customStyle="1" w:styleId="xl42">
    <w:name w:val="xl42"/>
    <w:basedOn w:val="Normal"/>
    <w:rsid w:val="00917CA6"/>
    <w:pPr>
      <w:pBdr>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18"/>
      <w:szCs w:val="18"/>
      <w:lang w:eastAsia="ar-SA"/>
    </w:rPr>
  </w:style>
  <w:style w:type="character" w:customStyle="1" w:styleId="Heading5Char">
    <w:name w:val="Heading 5 Char"/>
    <w:basedOn w:val="DefaultParagraphFont"/>
    <w:link w:val="Heading5"/>
    <w:uiPriority w:val="9"/>
    <w:semiHidden/>
    <w:rsid w:val="00711FD7"/>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uiPriority w:val="99"/>
    <w:semiHidden/>
    <w:unhideWhenUsed/>
    <w:rsid w:val="00071C85"/>
    <w:rPr>
      <w:sz w:val="16"/>
      <w:szCs w:val="16"/>
    </w:rPr>
  </w:style>
  <w:style w:type="paragraph" w:styleId="CommentText">
    <w:name w:val="annotation text"/>
    <w:basedOn w:val="Normal"/>
    <w:link w:val="CommentTextChar"/>
    <w:uiPriority w:val="99"/>
    <w:semiHidden/>
    <w:unhideWhenUsed/>
    <w:rsid w:val="00071C85"/>
  </w:style>
  <w:style w:type="character" w:customStyle="1" w:styleId="CommentTextChar">
    <w:name w:val="Comment Text Char"/>
    <w:basedOn w:val="DefaultParagraphFont"/>
    <w:link w:val="CommentText"/>
    <w:uiPriority w:val="99"/>
    <w:semiHidden/>
    <w:rsid w:val="00071C85"/>
  </w:style>
  <w:style w:type="paragraph" w:styleId="CommentSubject">
    <w:name w:val="annotation subject"/>
    <w:basedOn w:val="CommentText"/>
    <w:next w:val="CommentText"/>
    <w:link w:val="CommentSubjectChar"/>
    <w:uiPriority w:val="99"/>
    <w:semiHidden/>
    <w:unhideWhenUsed/>
    <w:rsid w:val="00071C85"/>
    <w:rPr>
      <w:b/>
      <w:bCs/>
    </w:rPr>
  </w:style>
  <w:style w:type="character" w:customStyle="1" w:styleId="CommentSubjectChar">
    <w:name w:val="Comment Subject Char"/>
    <w:basedOn w:val="CommentTextChar"/>
    <w:link w:val="CommentSubject"/>
    <w:uiPriority w:val="99"/>
    <w:semiHidden/>
    <w:rsid w:val="00071C85"/>
    <w:rPr>
      <w:b/>
      <w:bCs/>
    </w:rPr>
  </w:style>
  <w:style w:type="paragraph" w:styleId="Revision">
    <w:name w:val="Revision"/>
    <w:hidden/>
    <w:uiPriority w:val="99"/>
    <w:semiHidden/>
    <w:rsid w:val="005443CC"/>
  </w:style>
  <w:style w:type="character" w:customStyle="1" w:styleId="HeaderChar">
    <w:name w:val="Header Char"/>
    <w:basedOn w:val="DefaultParagraphFont"/>
    <w:link w:val="Header"/>
    <w:semiHidden/>
    <w:rsid w:val="008E0C89"/>
  </w:style>
  <w:style w:type="table" w:styleId="TableGrid">
    <w:name w:val="Table Grid"/>
    <w:basedOn w:val="TableNormal"/>
    <w:uiPriority w:val="59"/>
    <w:rsid w:val="002A4C12"/>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semiHidden/>
    <w:rsid w:val="00A33500"/>
    <w:pPr>
      <w:tabs>
        <w:tab w:val="left" w:pos="476"/>
        <w:tab w:val="left" w:pos="17044"/>
      </w:tabs>
      <w:overflowPunct/>
      <w:autoSpaceDE/>
      <w:autoSpaceDN/>
      <w:bidi/>
      <w:adjustRightInd/>
      <w:spacing w:line="420" w:lineRule="exact"/>
      <w:ind w:left="282" w:right="282" w:hanging="58"/>
      <w:jc w:val="lowKashida"/>
      <w:textAlignment w:val="auto"/>
    </w:pPr>
    <w:rPr>
      <w:rFonts w:cs="Simplified Arabic"/>
    </w:rPr>
  </w:style>
  <w:style w:type="character" w:customStyle="1" w:styleId="FootnoteTextChar">
    <w:name w:val="Footnote Text Char"/>
    <w:basedOn w:val="DefaultParagraphFont"/>
    <w:link w:val="FootnoteText"/>
    <w:semiHidden/>
    <w:rsid w:val="00A33500"/>
    <w:rPr>
      <w:rFonts w:cs="Traditional Arab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88828">
      <w:bodyDiv w:val="1"/>
      <w:marLeft w:val="0"/>
      <w:marRight w:val="0"/>
      <w:marTop w:val="0"/>
      <w:marBottom w:val="0"/>
      <w:divBdr>
        <w:top w:val="none" w:sz="0" w:space="0" w:color="auto"/>
        <w:left w:val="none" w:sz="0" w:space="0" w:color="auto"/>
        <w:bottom w:val="none" w:sz="0" w:space="0" w:color="auto"/>
        <w:right w:val="none" w:sz="0" w:space="0" w:color="auto"/>
      </w:divBdr>
    </w:div>
    <w:div w:id="33484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chart" Target="charts/chart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575966534097096"/>
          <c:y val="6.5626199369293231E-2"/>
          <c:w val="0.82438924958827775"/>
          <c:h val="0.67772438118266454"/>
        </c:manualLayout>
      </c:layout>
      <c:barChart>
        <c:barDir val="col"/>
        <c:grouping val="clustered"/>
        <c:varyColors val="0"/>
        <c:ser>
          <c:idx val="0"/>
          <c:order val="0"/>
          <c:tx>
            <c:strRef>
              <c:f>Sheet1!$B$1</c:f>
              <c:strCache>
                <c:ptCount val="1"/>
                <c:pt idx="0">
                  <c:v>Column1</c:v>
                </c:pt>
              </c:strCache>
            </c:strRef>
          </c:tx>
          <c:invertIfNegative val="0"/>
          <c:dLbls>
            <c:dLbl>
              <c:idx val="0"/>
              <c:layout/>
              <c:tx>
                <c:rich>
                  <a:bodyPr/>
                  <a:lstStyle/>
                  <a:p>
                    <a:r>
                      <a:rPr lang="en-US"/>
                      <a:t>847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7BA-4DC3-A4A5-7A2C9235AE97}"/>
                </c:ext>
              </c:extLst>
            </c:dLbl>
            <c:dLbl>
              <c:idx val="1"/>
              <c:layout/>
              <c:tx>
                <c:rich>
                  <a:bodyPr/>
                  <a:lstStyle/>
                  <a:p>
                    <a:r>
                      <a:rPr lang="en-US"/>
                      <a:t>539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7BA-4DC3-A4A5-7A2C9235AE97}"/>
                </c:ext>
              </c:extLst>
            </c:dLbl>
            <c:dLbl>
              <c:idx val="2"/>
              <c:layout/>
              <c:tx>
                <c:rich>
                  <a:bodyPr/>
                  <a:lstStyle/>
                  <a:p>
                    <a:r>
                      <a:rPr lang="en-US"/>
                      <a:t>5,612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7BA-4DC3-A4A5-7A2C9235AE97}"/>
                </c:ext>
              </c:extLst>
            </c:dLbl>
            <c:dLbl>
              <c:idx val="3"/>
              <c:layout/>
              <c:tx>
                <c:rich>
                  <a:bodyPr/>
                  <a:lstStyle/>
                  <a:p>
                    <a:r>
                      <a:rPr lang="en-US"/>
                      <a:t>1,322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7BA-4DC3-A4A5-7A2C9235AE9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Palestine</c:v>
                </c:pt>
                <c:pt idx="1">
                  <c:v>West Bank*</c:v>
                </c:pt>
                <c:pt idx="2">
                  <c:v>Gaza Strip</c:v>
                </c:pt>
                <c:pt idx="3">
                  <c:v>Jerusalem </c:v>
                </c:pt>
              </c:strCache>
            </c:strRef>
          </c:cat>
          <c:val>
            <c:numRef>
              <c:f>Sheet1!$B$2:$B$5</c:f>
              <c:numCache>
                <c:formatCode>General</c:formatCode>
                <c:ptCount val="4"/>
                <c:pt idx="0">
                  <c:v>826</c:v>
                </c:pt>
                <c:pt idx="1">
                  <c:v>528</c:v>
                </c:pt>
                <c:pt idx="2" formatCode="#,##0">
                  <c:v>5453</c:v>
                </c:pt>
                <c:pt idx="3" formatCode="#,##0">
                  <c:v>1293</c:v>
                </c:pt>
              </c:numCache>
            </c:numRef>
          </c:val>
          <c:extLst>
            <c:ext xmlns:c16="http://schemas.microsoft.com/office/drawing/2014/chart" uri="{C3380CC4-5D6E-409C-BE32-E72D297353CC}">
              <c16:uniqueId val="{00000004-07BA-4DC3-A4A5-7A2C9235AE97}"/>
            </c:ext>
          </c:extLst>
        </c:ser>
        <c:dLbls>
          <c:showLegendKey val="0"/>
          <c:showVal val="1"/>
          <c:showCatName val="0"/>
          <c:showSerName val="0"/>
          <c:showPercent val="0"/>
          <c:showBubbleSize val="0"/>
        </c:dLbls>
        <c:gapWidth val="150"/>
        <c:axId val="98442624"/>
        <c:axId val="98518528"/>
      </c:barChart>
      <c:catAx>
        <c:axId val="98442624"/>
        <c:scaling>
          <c:orientation val="minMax"/>
        </c:scaling>
        <c:delete val="0"/>
        <c:axPos val="b"/>
        <c:title>
          <c:tx>
            <c:rich>
              <a:bodyPr/>
              <a:lstStyle/>
              <a:p>
                <a:pPr rtl="1">
                  <a:defRPr/>
                </a:pPr>
                <a:r>
                  <a:rPr lang="en-US"/>
                  <a:t>Region</a:t>
                </a:r>
              </a:p>
            </c:rich>
          </c:tx>
          <c:layout>
            <c:manualLayout>
              <c:xMode val="edge"/>
              <c:yMode val="edge"/>
              <c:x val="0.47187405848353076"/>
              <c:y val="0.88769444444446965"/>
            </c:manualLayout>
          </c:layout>
          <c:overlay val="0"/>
        </c:title>
        <c:numFmt formatCode="General" sourceLinked="0"/>
        <c:majorTickMark val="out"/>
        <c:minorTickMark val="none"/>
        <c:tickLblPos val="nextTo"/>
        <c:crossAx val="98518528"/>
        <c:crosses val="autoZero"/>
        <c:auto val="1"/>
        <c:lblAlgn val="ctr"/>
        <c:lblOffset val="100"/>
        <c:noMultiLvlLbl val="0"/>
      </c:catAx>
      <c:valAx>
        <c:axId val="98518528"/>
        <c:scaling>
          <c:orientation val="minMax"/>
        </c:scaling>
        <c:delete val="0"/>
        <c:axPos val="l"/>
        <c:title>
          <c:tx>
            <c:rich>
              <a:bodyPr rot="-5400000" vert="horz"/>
              <a:lstStyle/>
              <a:p>
                <a:pPr rtl="1">
                  <a:defRPr/>
                </a:pPr>
                <a:r>
                  <a:rPr lang="en-US"/>
                  <a:t>Population Density </a:t>
                </a:r>
              </a:p>
            </c:rich>
          </c:tx>
          <c:layout>
            <c:manualLayout>
              <c:xMode val="edge"/>
              <c:yMode val="edge"/>
              <c:x val="1.8996132395991381E-2"/>
              <c:y val="0.17898054373444044"/>
            </c:manualLayout>
          </c:layout>
          <c:overlay val="0"/>
        </c:title>
        <c:numFmt formatCode="General" sourceLinked="1"/>
        <c:majorTickMark val="out"/>
        <c:minorTickMark val="none"/>
        <c:tickLblPos val="nextTo"/>
        <c:crossAx val="98442624"/>
        <c:crosses val="autoZero"/>
        <c:crossBetween val="between"/>
      </c:valAx>
    </c:plotArea>
    <c:plotVisOnly val="1"/>
    <c:dispBlanksAs val="gap"/>
    <c:showDLblsOverMax val="0"/>
  </c:chart>
  <c:txPr>
    <a:bodyPr/>
    <a:lstStyle/>
    <a:p>
      <a:pPr>
        <a:defRPr sz="800" baseline="0">
          <a:solidFill>
            <a:schemeClr val="tx1"/>
          </a:solidFill>
          <a:latin typeface="Arial" pitchFamily="34" charset="0"/>
          <a:cs typeface="Arial" pitchFamily="34" charset="0"/>
        </a:defRPr>
      </a:pPr>
      <a:endParaRPr lang="ar-SA"/>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770185917419289"/>
          <c:y val="5.7449954284389725E-2"/>
          <c:w val="0.81366459627332199"/>
          <c:h val="0.6512395408286179"/>
        </c:manualLayout>
      </c:layout>
      <c:barChart>
        <c:barDir val="col"/>
        <c:grouping val="clustered"/>
        <c:varyColors val="0"/>
        <c:ser>
          <c:idx val="0"/>
          <c:order val="0"/>
          <c:tx>
            <c:strRef>
              <c:f>Sheet1!$A$2</c:f>
              <c:strCache>
                <c:ptCount val="1"/>
                <c:pt idx="0">
                  <c:v>East</c:v>
                </c:pt>
              </c:strCache>
            </c:strRef>
          </c:tx>
          <c:spPr>
            <a:solidFill>
              <a:srgbClr val="9999FF"/>
            </a:solidFill>
            <a:ln w="12683">
              <a:solidFill>
                <a:srgbClr val="000000"/>
              </a:solidFill>
              <a:prstDash val="solid"/>
            </a:ln>
          </c:spPr>
          <c:invertIfNegative val="0"/>
          <c:dLbls>
            <c:dLbl>
              <c:idx val="0"/>
              <c:layout/>
              <c:tx>
                <c:rich>
                  <a:bodyPr/>
                  <a:lstStyle/>
                  <a:p>
                    <a:r>
                      <a:rPr lang="en-US" sz="800" b="0" i="0" u="none" strike="noStrike" baseline="0">
                        <a:effectLst/>
                      </a:rPr>
                      <a:t>606,861.1</a:t>
                    </a:r>
                    <a:r>
                      <a:rPr lang="en-US" sz="800" b="0" i="0" u="none" strike="noStrike" baseline="0"/>
                      <a:t> </a:t>
                    </a:r>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513-4B41-AE71-33E4E05B94C5}"/>
                </c:ext>
              </c:extLst>
            </c:dLbl>
            <c:dLbl>
              <c:idx val="1"/>
              <c:layout/>
              <c:tx>
                <c:rich>
                  <a:bodyPr/>
                  <a:lstStyle/>
                  <a:p>
                    <a:r>
                      <a:rPr lang="en-US"/>
                      <a:t>379,315.6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513-4B41-AE71-33E4E05B94C5}"/>
                </c:ext>
              </c:extLst>
            </c:dLbl>
            <c:dLbl>
              <c:idx val="2"/>
              <c:layout/>
              <c:tx>
                <c:rich>
                  <a:bodyPr/>
                  <a:lstStyle/>
                  <a:p>
                    <a:r>
                      <a:rPr lang="en-US"/>
                      <a:t>227,545.5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513-4B41-AE71-33E4E05B94C5}"/>
                </c:ext>
              </c:extLst>
            </c:dLbl>
            <c:numFmt formatCode="#,##0.0" sourceLinked="0"/>
            <c:spPr>
              <a:noFill/>
              <a:ln w="25366">
                <a:noFill/>
              </a:ln>
            </c:spPr>
            <c:txPr>
              <a:bodyPr wrap="square" lIns="38100" tIns="19050" rIns="38100" bIns="19050" anchor="ctr">
                <a:spAutoFit/>
              </a:bodyPr>
              <a:lstStyle/>
              <a:p>
                <a:pPr>
                  <a:defRPr>
                    <a:solidFill>
                      <a:sysClr val="windowText" lastClr="000000"/>
                    </a:solidFil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 Output</c:v>
                </c:pt>
                <c:pt idx="1">
                  <c:v>           Gross Value Added</c:v>
                </c:pt>
                <c:pt idx="2">
                  <c:v>         Intermediate Consumption</c:v>
                </c:pt>
              </c:strCache>
            </c:strRef>
          </c:cat>
          <c:val>
            <c:numRef>
              <c:f>Sheet1!$B$2:$D$2</c:f>
              <c:numCache>
                <c:formatCode>_-* #,##0.0\ _ر_._س_._‏_-;\-* #,##0.0\ _ر_._س_._‏_-;_-* "-"??\ _ر_._س_._‏_-;_-@_-</c:formatCode>
                <c:ptCount val="3"/>
                <c:pt idx="0" formatCode="#,##0.0_ ;\-#,##0.0\ ">
                  <c:v>606861.1</c:v>
                </c:pt>
                <c:pt idx="1">
                  <c:v>379315.63131695852</c:v>
                </c:pt>
                <c:pt idx="2">
                  <c:v>227545.52624876512</c:v>
                </c:pt>
              </c:numCache>
            </c:numRef>
          </c:val>
          <c:extLst>
            <c:ext xmlns:c16="http://schemas.microsoft.com/office/drawing/2014/chart" uri="{C3380CC4-5D6E-409C-BE32-E72D297353CC}">
              <c16:uniqueId val="{00000003-3513-4B41-AE71-33E4E05B94C5}"/>
            </c:ext>
          </c:extLst>
        </c:ser>
        <c:dLbls>
          <c:showLegendKey val="0"/>
          <c:showVal val="0"/>
          <c:showCatName val="0"/>
          <c:showSerName val="0"/>
          <c:showPercent val="0"/>
          <c:showBubbleSize val="0"/>
        </c:dLbls>
        <c:gapWidth val="150"/>
        <c:axId val="96844416"/>
        <c:axId val="130016000"/>
      </c:barChart>
      <c:catAx>
        <c:axId val="96844416"/>
        <c:scaling>
          <c:orientation val="minMax"/>
        </c:scaling>
        <c:delete val="0"/>
        <c:axPos val="b"/>
        <c:title>
          <c:tx>
            <c:rich>
              <a:bodyPr/>
              <a:lstStyle/>
              <a:p>
                <a:pPr>
                  <a:defRPr b="1"/>
                </a:pPr>
                <a:r>
                  <a:rPr lang="en-US" b="1"/>
                  <a:t>Indicator</a:t>
                </a:r>
              </a:p>
            </c:rich>
          </c:tx>
          <c:layout>
            <c:manualLayout>
              <c:xMode val="edge"/>
              <c:yMode val="edge"/>
              <c:x val="0.42830271657793112"/>
              <c:y val="0.9000490220130658"/>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ar-SA"/>
          </a:p>
        </c:txPr>
        <c:crossAx val="130016000"/>
        <c:crosses val="autoZero"/>
        <c:auto val="1"/>
        <c:lblAlgn val="ctr"/>
        <c:lblOffset val="100"/>
        <c:tickLblSkip val="1"/>
        <c:tickMarkSkip val="1"/>
        <c:noMultiLvlLbl val="0"/>
      </c:catAx>
      <c:valAx>
        <c:axId val="130016000"/>
        <c:scaling>
          <c:orientation val="minMax"/>
        </c:scaling>
        <c:delete val="0"/>
        <c:axPos val="l"/>
        <c:title>
          <c:tx>
            <c:rich>
              <a:bodyPr/>
              <a:lstStyle/>
              <a:p>
                <a:pPr>
                  <a:defRPr b="1"/>
                </a:pPr>
                <a:r>
                  <a:rPr lang="en-US" b="1"/>
                  <a:t>Value</a:t>
                </a:r>
              </a:p>
            </c:rich>
          </c:tx>
          <c:layout>
            <c:manualLayout>
              <c:xMode val="edge"/>
              <c:yMode val="edge"/>
              <c:x val="2.8183023513813354E-2"/>
              <c:y val="0.30225011688717834"/>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sz="700"/>
            </a:pPr>
            <a:endParaRPr lang="ar-SA"/>
          </a:p>
        </c:txPr>
        <c:crossAx val="96844416"/>
        <c:crosses val="autoZero"/>
        <c:crossBetween val="between"/>
      </c:valAx>
      <c:spPr>
        <a:noFill/>
        <a:ln w="25366">
          <a:noFill/>
        </a:ln>
      </c:spPr>
    </c:plotArea>
    <c:plotVisOnly val="1"/>
    <c:dispBlanksAs val="gap"/>
    <c:showDLblsOverMax val="0"/>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80284834560193"/>
          <c:y val="0.15356606795569291"/>
          <c:w val="0.7713599774043215"/>
          <c:h val="0.5532818945095449"/>
        </c:manualLayout>
      </c:layout>
      <c:barChart>
        <c:barDir val="col"/>
        <c:grouping val="clustered"/>
        <c:varyColors val="0"/>
        <c:ser>
          <c:idx val="0"/>
          <c:order val="0"/>
          <c:tx>
            <c:strRef>
              <c:f>Sheet1!$A$2</c:f>
              <c:strCache>
                <c:ptCount val="1"/>
                <c:pt idx="0">
                  <c:v> Males</c:v>
                </c:pt>
              </c:strCache>
            </c:strRef>
          </c:tx>
          <c:spPr>
            <a:solidFill>
              <a:schemeClr val="accent1"/>
            </a:solidFill>
            <a:ln>
              <a:noFill/>
            </a:ln>
            <a:effectLst/>
          </c:spPr>
          <c:invertIfNegative val="0"/>
          <c:dLbls>
            <c:dLbl>
              <c:idx val="0"/>
              <c:layout>
                <c:manualLayout>
                  <c:x val="-6.7381743322427667E-3"/>
                  <c:y val="6.3034019506484824E-4"/>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71B-43B8-B95F-9C3F3CB8C1A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
Palestine</c:v>
                </c:pt>
                <c:pt idx="1">
                  <c:v>
Jerusalem Governorate </c:v>
                </c:pt>
              </c:strCache>
            </c:strRef>
          </c:cat>
          <c:val>
            <c:numRef>
              <c:f>Sheet1!$B$2:$C$2</c:f>
              <c:numCache>
                <c:formatCode>General</c:formatCode>
                <c:ptCount val="2"/>
                <c:pt idx="0">
                  <c:v>25.3</c:v>
                </c:pt>
                <c:pt idx="1">
                  <c:v>25.5</c:v>
                </c:pt>
              </c:numCache>
            </c:numRef>
          </c:val>
          <c:extLst>
            <c:ext xmlns:c16="http://schemas.microsoft.com/office/drawing/2014/chart" uri="{C3380CC4-5D6E-409C-BE32-E72D297353CC}">
              <c16:uniqueId val="{00000001-D71B-43B8-B95F-9C3F3CB8C1A6}"/>
            </c:ext>
          </c:extLst>
        </c:ser>
        <c:ser>
          <c:idx val="1"/>
          <c:order val="1"/>
          <c:tx>
            <c:strRef>
              <c:f>Sheet1!$A$3</c:f>
              <c:strCache>
                <c:ptCount val="1"/>
                <c:pt idx="0">
                  <c:v> Females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
Palestine</c:v>
                </c:pt>
                <c:pt idx="1">
                  <c:v>
Jerusalem Governorate </c:v>
                </c:pt>
              </c:strCache>
            </c:strRef>
          </c:cat>
          <c:val>
            <c:numRef>
              <c:f>Sheet1!$B$3:$C$3</c:f>
              <c:numCache>
                <c:formatCode>General</c:formatCode>
                <c:ptCount val="2"/>
                <c:pt idx="0">
                  <c:v>20.7</c:v>
                </c:pt>
                <c:pt idx="1">
                  <c:v>20.9</c:v>
                </c:pt>
              </c:numCache>
            </c:numRef>
          </c:val>
          <c:extLst>
            <c:ext xmlns:c16="http://schemas.microsoft.com/office/drawing/2014/chart" uri="{C3380CC4-5D6E-409C-BE32-E72D297353CC}">
              <c16:uniqueId val="{00000002-D71B-43B8-B95F-9C3F3CB8C1A6}"/>
            </c:ext>
          </c:extLst>
        </c:ser>
        <c:dLbls>
          <c:showLegendKey val="0"/>
          <c:showVal val="1"/>
          <c:showCatName val="0"/>
          <c:showSerName val="0"/>
          <c:showPercent val="0"/>
          <c:showBubbleSize val="0"/>
        </c:dLbls>
        <c:gapWidth val="267"/>
        <c:overlap val="-43"/>
        <c:axId val="98860416"/>
        <c:axId val="115226880"/>
      </c:barChart>
      <c:catAx>
        <c:axId val="9886041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ar-SA"/>
          </a:p>
        </c:txPr>
        <c:crossAx val="115226880"/>
        <c:crosses val="autoZero"/>
        <c:auto val="1"/>
        <c:lblAlgn val="ctr"/>
        <c:lblOffset val="100"/>
        <c:tickLblSkip val="1"/>
        <c:tickMarkSkip val="1"/>
        <c:noMultiLvlLbl val="0"/>
      </c:catAx>
      <c:valAx>
        <c:axId val="115226880"/>
        <c:scaling>
          <c:orientation val="minMax"/>
        </c:scaling>
        <c:delete val="0"/>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65000"/>
                        <a:lumOff val="35000"/>
                      </a:schemeClr>
                    </a:solidFill>
                    <a:latin typeface="+mn-lt"/>
                    <a:ea typeface="+mn-ea"/>
                    <a:cs typeface="+mn-cs"/>
                  </a:defRPr>
                </a:pPr>
                <a:r>
                  <a:rPr lang="en-US"/>
                  <a:t>Age</a:t>
                </a:r>
              </a:p>
            </c:rich>
          </c:tx>
          <c:layout>
            <c:manualLayout>
              <c:xMode val="edge"/>
              <c:yMode val="edge"/>
              <c:x val="3.3328690762687983E-2"/>
              <c:y val="0.35158211953792062"/>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65000"/>
                      <a:lumOff val="35000"/>
                    </a:schemeClr>
                  </a:solidFill>
                  <a:latin typeface="+mn-lt"/>
                  <a:ea typeface="+mn-ea"/>
                  <a:cs typeface="+mn-cs"/>
                </a:defRPr>
              </a:pPr>
              <a:endParaRPr lang="ar-SA"/>
            </a:p>
          </c:txPr>
        </c:title>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dk1">
                    <a:lumMod val="65000"/>
                    <a:lumOff val="35000"/>
                  </a:schemeClr>
                </a:solidFill>
                <a:latin typeface="+mn-lt"/>
                <a:ea typeface="+mn-ea"/>
                <a:cs typeface="+mn-cs"/>
              </a:defRPr>
            </a:pPr>
            <a:endParaRPr lang="ar-SA"/>
          </a:p>
        </c:txPr>
        <c:crossAx val="98860416"/>
        <c:crosses val="autoZero"/>
        <c:crossBetween val="between"/>
      </c:valAx>
      <c:spPr>
        <a:pattFill prst="ltDnDiag">
          <a:fgClr>
            <a:schemeClr val="dk1">
              <a:lumMod val="15000"/>
              <a:lumOff val="85000"/>
            </a:schemeClr>
          </a:fgClr>
          <a:bgClr>
            <a:schemeClr val="lt1"/>
          </a:bgClr>
        </a:pattFill>
        <a:ln>
          <a:noFill/>
        </a:ln>
        <a:effectLst/>
      </c:spPr>
    </c:plotArea>
    <c:legend>
      <c:legendPos val="b"/>
      <c:layout>
        <c:manualLayout>
          <c:xMode val="edge"/>
          <c:yMode val="edge"/>
          <c:x val="0.58213797935891498"/>
          <c:y val="3.7626009958197826E-3"/>
          <c:w val="0.3964900006585973"/>
          <c:h val="0.154268222750408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ar-SA"/>
        </a:p>
      </c:txPr>
    </c:legend>
    <c:plotVisOnly val="1"/>
    <c:dispBlanksAs val="gap"/>
    <c:showDLblsOverMax val="0"/>
  </c:chart>
  <c:spPr>
    <a:noFill/>
    <a:ln w="9525" cap="flat" cmpd="sng" algn="ctr">
      <a:noFill/>
      <a:round/>
    </a:ln>
    <a:effectLst/>
  </c:spPr>
  <c:txPr>
    <a:bodyPr/>
    <a:lstStyle/>
    <a:p>
      <a:pPr>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071048992605965"/>
          <c:y val="1.6760975943996854E-2"/>
          <c:w val="0.37701747368661648"/>
          <c:h val="0.94186018625844359"/>
        </c:manualLayout>
      </c:layout>
      <c:pieChart>
        <c:varyColors val="1"/>
        <c:ser>
          <c:idx val="0"/>
          <c:order val="0"/>
          <c:tx>
            <c:strRef>
              <c:f>Sheet1!$B$1</c:f>
              <c:strCache>
                <c:ptCount val="1"/>
                <c:pt idx="0">
                  <c:v>Sales</c:v>
                </c:pt>
              </c:strCache>
            </c:strRef>
          </c:tx>
          <c:explosion val="25"/>
          <c:dLbls>
            <c:dLbl>
              <c:idx val="0"/>
              <c:layout>
                <c:manualLayout>
                  <c:x val="0.16202788624270326"/>
                  <c:y val="3.169364800494285E-2"/>
                </c:manualLayout>
              </c:layout>
              <c:tx>
                <c:rich>
                  <a:bodyPr/>
                  <a:lstStyle/>
                  <a:p>
                    <a:pPr>
                      <a:defRPr/>
                    </a:pPr>
                    <a:r>
                      <a:rPr lang="en-US"/>
                      <a:t>
 Employer
5.2%</a:t>
                    </a:r>
                  </a:p>
                </c:rich>
              </c:tx>
              <c:numFmt formatCode="0.0%" sourceLinked="0"/>
              <c:spPr/>
              <c:dLblPos val="bestFit"/>
              <c:showLegendKey val="0"/>
              <c:showVal val="0"/>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0-DAE7-4CC2-88AA-665F14CD5AA1}"/>
                </c:ext>
              </c:extLst>
            </c:dLbl>
            <c:dLbl>
              <c:idx val="1"/>
              <c:layout>
                <c:manualLayout>
                  <c:x val="8.5558437996411552E-2"/>
                  <c:y val="0.21364562932171544"/>
                </c:manualLayout>
              </c:layout>
              <c:tx>
                <c:rich>
                  <a:bodyPr/>
                  <a:lstStyle/>
                  <a:p>
                    <a:pPr>
                      <a:defRPr/>
                    </a:pPr>
                    <a:r>
                      <a:rPr lang="en-US"/>
                      <a:t>
 Self employed
8.9%</a:t>
                    </a:r>
                  </a:p>
                </c:rich>
              </c:tx>
              <c:numFmt formatCode="0.0%" sourceLinked="0"/>
              <c:spPr/>
              <c:dLblPos val="bestFit"/>
              <c:showLegendKey val="0"/>
              <c:showVal val="0"/>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DAE7-4CC2-88AA-665F14CD5AA1}"/>
                </c:ext>
              </c:extLst>
            </c:dLbl>
            <c:dLbl>
              <c:idx val="2"/>
              <c:layout>
                <c:manualLayout>
                  <c:x val="-0.10611773310629349"/>
                  <c:y val="-8.4649951750954994E-2"/>
                </c:manualLayout>
              </c:layout>
              <c:tx>
                <c:rich>
                  <a:bodyPr/>
                  <a:lstStyle/>
                  <a:p>
                    <a:pPr>
                      <a:defRPr/>
                    </a:pPr>
                    <a:r>
                      <a:rPr lang="en-US"/>
                      <a:t>
 Wage employee
85.6%</a:t>
                    </a:r>
                  </a:p>
                </c:rich>
              </c:tx>
              <c:numFmt formatCode="0.0%" sourceLinked="0"/>
              <c:spPr/>
              <c:dLblPos val="bestFit"/>
              <c:showLegendKey val="0"/>
              <c:showVal val="0"/>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2-DAE7-4CC2-88AA-665F14CD5AA1}"/>
                </c:ext>
              </c:extLst>
            </c:dLbl>
            <c:dLbl>
              <c:idx val="3"/>
              <c:layout>
                <c:manualLayout>
                  <c:x val="3.2224038032981725E-2"/>
                  <c:y val="-0.16010118024587028"/>
                </c:manualLayout>
              </c:layout>
              <c:tx>
                <c:rich>
                  <a:bodyPr/>
                  <a:lstStyle/>
                  <a:p>
                    <a:pPr>
                      <a:defRPr/>
                    </a:pPr>
                    <a:r>
                      <a:rPr lang="en-US"/>
                      <a:t>
 Unpaid family member
0.3%</a:t>
                    </a:r>
                  </a:p>
                </c:rich>
              </c:tx>
              <c:numFmt formatCode="0.0%" sourceLinked="0"/>
              <c:spPr/>
              <c:dLblPos val="bestFit"/>
              <c:showLegendKey val="0"/>
              <c:showVal val="0"/>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DAE7-4CC2-88AA-665F14CD5AA1}"/>
                </c:ext>
              </c:extLst>
            </c:dLbl>
            <c:numFmt formatCode="0.0%" sourceLinked="0"/>
            <c:spPr>
              <a:noFill/>
              <a:ln>
                <a:noFill/>
              </a:ln>
              <a:effectLst/>
            </c:spPr>
            <c:dLblPos val="bestFit"/>
            <c:showLegendKey val="0"/>
            <c:showVal val="0"/>
            <c:showCatName val="1"/>
            <c:showSerName val="0"/>
            <c:showPercent val="0"/>
            <c:showBubbleSize val="0"/>
            <c:separator>
</c:separator>
            <c:showLeaderLines val="1"/>
            <c:extLst>
              <c:ext xmlns:c15="http://schemas.microsoft.com/office/drawing/2012/chart" uri="{CE6537A1-D6FC-4f65-9D91-7224C49458BB}"/>
            </c:extLst>
          </c:dLbls>
          <c:cat>
            <c:strRef>
              <c:f>Sheet1!$A$2:$A$5</c:f>
              <c:strCache>
                <c:ptCount val="4"/>
                <c:pt idx="0">
                  <c:v>
 Employer</c:v>
                </c:pt>
                <c:pt idx="1">
                  <c:v>
 Self employed</c:v>
                </c:pt>
                <c:pt idx="2">
                  <c:v>
 Wage employee</c:v>
                </c:pt>
                <c:pt idx="3">
                  <c:v>
 Unpaid family member</c:v>
                </c:pt>
              </c:strCache>
            </c:strRef>
          </c:cat>
          <c:val>
            <c:numRef>
              <c:f>Sheet1!$B$2:$B$5</c:f>
              <c:numCache>
                <c:formatCode>General</c:formatCode>
                <c:ptCount val="4"/>
                <c:pt idx="0">
                  <c:v>5.1999999999999998E-2</c:v>
                </c:pt>
                <c:pt idx="1">
                  <c:v>8.9000000000000037E-2</c:v>
                </c:pt>
                <c:pt idx="2">
                  <c:v>0.85600000000000009</c:v>
                </c:pt>
                <c:pt idx="3">
                  <c:v>3.0000000000000005E-3</c:v>
                </c:pt>
              </c:numCache>
            </c:numRef>
          </c:val>
          <c:extLst>
            <c:ext xmlns:c16="http://schemas.microsoft.com/office/drawing/2014/chart" uri="{C3380CC4-5D6E-409C-BE32-E72D297353CC}">
              <c16:uniqueId val="{00000004-DAE7-4CC2-88AA-665F14CD5AA1}"/>
            </c:ext>
          </c:extLst>
        </c:ser>
        <c:dLbls>
          <c:showLegendKey val="0"/>
          <c:showVal val="1"/>
          <c:showCatName val="1"/>
          <c:showSerName val="0"/>
          <c:showPercent val="0"/>
          <c:showBubbleSize val="0"/>
          <c:showLeaderLines val="1"/>
        </c:dLbls>
        <c:firstSliceAng val="63"/>
      </c:pieChart>
      <c:spPr>
        <a:noFill/>
        <a:ln w="18562">
          <a:noFill/>
        </a:ln>
      </c:spPr>
    </c:plotArea>
    <c:plotVisOnly val="1"/>
    <c:dispBlanksAs val="zero"/>
    <c:showDLblsOverMax val="0"/>
  </c:chart>
  <c:spPr>
    <a:noFill/>
    <a:ln>
      <a:noFill/>
    </a:ln>
  </c:spPr>
  <c:txPr>
    <a:bodyPr/>
    <a:lstStyle/>
    <a:p>
      <a:pPr>
        <a:defRPr sz="800" baseline="0">
          <a:latin typeface="Arial" pitchFamily="34" charset="0"/>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72983868632844"/>
          <c:y val="0.13644158029864584"/>
          <c:w val="0.81852009269542902"/>
          <c:h val="0.68283433459299181"/>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Sheet1!$B$1:$E$1</c:f>
              <c:strCache>
                <c:ptCount val="4"/>
                <c:pt idx="0">
                  <c:v> Well </c:v>
                </c:pt>
                <c:pt idx="1">
                  <c:v> Fairly Good</c:v>
                </c:pt>
                <c:pt idx="2">
                  <c:v> Poor</c:v>
                </c:pt>
                <c:pt idx="3">
                  <c:v>Very Poor</c:v>
                </c:pt>
              </c:strCache>
            </c:strRef>
          </c:cat>
          <c:val>
            <c:numRef>
              <c:f>Sheet1!$B$2:$E$2</c:f>
              <c:numCache>
                <c:formatCode>0.0%</c:formatCode>
                <c:ptCount val="4"/>
                <c:pt idx="0">
                  <c:v>5.3000000000000012E-2</c:v>
                </c:pt>
                <c:pt idx="1">
                  <c:v>0.8510000000000002</c:v>
                </c:pt>
                <c:pt idx="2">
                  <c:v>8.9000000000000051E-2</c:v>
                </c:pt>
                <c:pt idx="3">
                  <c:v>7.0000000000000019E-3</c:v>
                </c:pt>
              </c:numCache>
            </c:numRef>
          </c:val>
          <c:extLst>
            <c:ext xmlns:c16="http://schemas.microsoft.com/office/drawing/2014/chart" uri="{C3380CC4-5D6E-409C-BE32-E72D297353CC}">
              <c16:uniqueId val="{00000004-83A9-4A40-A53B-7CBB7B56B4EE}"/>
            </c:ext>
          </c:extLst>
        </c:ser>
        <c:dLbls>
          <c:showLegendKey val="0"/>
          <c:showVal val="1"/>
          <c:showCatName val="0"/>
          <c:showSerName val="0"/>
          <c:showPercent val="0"/>
          <c:showBubbleSize val="0"/>
        </c:dLbls>
        <c:gapWidth val="100"/>
        <c:axId val="98779520"/>
        <c:axId val="98781056"/>
      </c:barChart>
      <c:catAx>
        <c:axId val="98779520"/>
        <c:scaling>
          <c:orientation val="minMax"/>
        </c:scaling>
        <c:delete val="0"/>
        <c:axPos val="b"/>
        <c:numFmt formatCode="General" sourceLinked="1"/>
        <c:majorTickMark val="out"/>
        <c:minorTickMark val="none"/>
        <c:tickLblPos val="nextTo"/>
        <c:crossAx val="98781056"/>
        <c:crossesAt val="0"/>
        <c:auto val="1"/>
        <c:lblAlgn val="ctr"/>
        <c:lblOffset val="100"/>
        <c:noMultiLvlLbl val="0"/>
      </c:catAx>
      <c:valAx>
        <c:axId val="98781056"/>
        <c:scaling>
          <c:orientation val="minMax"/>
          <c:min val="0"/>
        </c:scaling>
        <c:delete val="0"/>
        <c:axPos val="l"/>
        <c:numFmt formatCode="0%" sourceLinked="0"/>
        <c:majorTickMark val="out"/>
        <c:minorTickMark val="none"/>
        <c:tickLblPos val="nextTo"/>
        <c:crossAx val="98779520"/>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7553278923102"/>
          <c:y val="5.8275287704421572E-2"/>
          <c:w val="0.85588509522236367"/>
          <c:h val="0.64399133635844019"/>
        </c:manualLayout>
      </c:layout>
      <c:barChart>
        <c:barDir val="col"/>
        <c:grouping val="clustered"/>
        <c:varyColors val="0"/>
        <c:ser>
          <c:idx val="0"/>
          <c:order val="0"/>
          <c:tx>
            <c:strRef>
              <c:f>Sheet1!$A$2</c:f>
              <c:strCache>
                <c:ptCount val="1"/>
                <c:pt idx="0">
                  <c:v>استخدام الحاسوب</c:v>
                </c:pt>
              </c:strCache>
            </c:strRef>
          </c:tx>
          <c:spPr>
            <a:solidFill>
              <a:srgbClr val="9999FF"/>
            </a:solidFill>
            <a:ln w="12701">
              <a:solidFill>
                <a:srgbClr val="000000"/>
              </a:solidFill>
              <a:prstDash val="solid"/>
            </a:ln>
          </c:spPr>
          <c:invertIfNegative val="0"/>
          <c:dLbls>
            <c:spPr>
              <a:noFill/>
              <a:ln>
                <a:noFill/>
              </a:ln>
              <a:effectLst/>
            </c:spPr>
            <c:txPr>
              <a:bodyPr/>
              <a:lstStyle/>
              <a:p>
                <a:pPr>
                  <a:defRPr b="0"/>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5"/>
                <c:pt idx="0">
                  <c:v>Computer                       (Desktop or Laptop or Tablet)</c:v>
                </c:pt>
                <c:pt idx="1">
                  <c:v>Palestinian  Internet</c:v>
                </c:pt>
                <c:pt idx="2">
                  <c:v>Israeli Internet</c:v>
                </c:pt>
                <c:pt idx="3">
                  <c:v>Mobile Phone Line</c:v>
                </c:pt>
                <c:pt idx="4">
                  <c:v>Smart Phone</c:v>
                </c:pt>
              </c:strCache>
            </c:strRef>
          </c:cat>
          <c:val>
            <c:numRef>
              <c:f>Sheet1!$B$2:$G$2</c:f>
              <c:numCache>
                <c:formatCode>0.0</c:formatCode>
                <c:ptCount val="5"/>
                <c:pt idx="0">
                  <c:v>41</c:v>
                </c:pt>
                <c:pt idx="1">
                  <c:v>36.4</c:v>
                </c:pt>
                <c:pt idx="2" formatCode="General">
                  <c:v>71.099999999999994</c:v>
                </c:pt>
                <c:pt idx="3">
                  <c:v>95</c:v>
                </c:pt>
                <c:pt idx="4" formatCode="General">
                  <c:v>86.9</c:v>
                </c:pt>
              </c:numCache>
            </c:numRef>
          </c:val>
          <c:extLst>
            <c:ext xmlns:c16="http://schemas.microsoft.com/office/drawing/2014/chart" uri="{C3380CC4-5D6E-409C-BE32-E72D297353CC}">
              <c16:uniqueId val="{00000000-65ED-4965-9044-0A68D6B7BB1A}"/>
            </c:ext>
          </c:extLst>
        </c:ser>
        <c:dLbls>
          <c:showLegendKey val="0"/>
          <c:showVal val="1"/>
          <c:showCatName val="0"/>
          <c:showSerName val="0"/>
          <c:showPercent val="0"/>
          <c:showBubbleSize val="0"/>
        </c:dLbls>
        <c:gapWidth val="150"/>
        <c:axId val="98797056"/>
        <c:axId val="98798976"/>
      </c:barChart>
      <c:catAx>
        <c:axId val="98797056"/>
        <c:scaling>
          <c:orientation val="minMax"/>
        </c:scaling>
        <c:delete val="0"/>
        <c:axPos val="b"/>
        <c:title>
          <c:tx>
            <c:rich>
              <a:bodyPr/>
              <a:lstStyle/>
              <a:p>
                <a:pPr>
                  <a:defRPr/>
                </a:pPr>
                <a:r>
                  <a:rPr lang="en-US"/>
                  <a:t>Availability of ICT Tools</a:t>
                </a:r>
                <a:endParaRPr lang="ar-SA"/>
              </a:p>
            </c:rich>
          </c:tx>
          <c:layout>
            <c:manualLayout>
              <c:xMode val="edge"/>
              <c:yMode val="edge"/>
              <c:x val="0.38791042204997367"/>
              <c:y val="0.85961322614081959"/>
            </c:manualLayout>
          </c:layout>
          <c:overlay val="0"/>
          <c:spPr>
            <a:noFill/>
            <a:ln w="25401">
              <a:noFill/>
            </a:ln>
          </c:spPr>
        </c:title>
        <c:numFmt formatCode="General" sourceLinked="1"/>
        <c:majorTickMark val="out"/>
        <c:minorTickMark val="none"/>
        <c:tickLblPos val="low"/>
        <c:spPr>
          <a:ln w="3175">
            <a:solidFill>
              <a:srgbClr val="000000"/>
            </a:solidFill>
            <a:prstDash val="solid"/>
          </a:ln>
        </c:spPr>
        <c:txPr>
          <a:bodyPr rot="0" vert="horz"/>
          <a:lstStyle/>
          <a:p>
            <a:pPr>
              <a:defRPr b="0"/>
            </a:pPr>
            <a:endParaRPr lang="ar-SA"/>
          </a:p>
        </c:txPr>
        <c:crossAx val="98798976"/>
        <c:crosses val="autoZero"/>
        <c:auto val="1"/>
        <c:lblAlgn val="ctr"/>
        <c:lblOffset val="100"/>
        <c:tickLblSkip val="1"/>
        <c:tickMarkSkip val="1"/>
        <c:noMultiLvlLbl val="0"/>
      </c:catAx>
      <c:valAx>
        <c:axId val="98798976"/>
        <c:scaling>
          <c:orientation val="minMax"/>
        </c:scaling>
        <c:delete val="0"/>
        <c:axPos val="l"/>
        <c:title>
          <c:tx>
            <c:rich>
              <a:bodyPr rot="-5400000" vert="horz"/>
              <a:lstStyle/>
              <a:p>
                <a:pPr algn="ctr">
                  <a:defRPr/>
                </a:pPr>
                <a:r>
                  <a:rPr lang="en-US"/>
                  <a:t>Percentage </a:t>
                </a:r>
                <a:endParaRPr lang="ar-SA"/>
              </a:p>
            </c:rich>
          </c:tx>
          <c:layout>
            <c:manualLayout>
              <c:xMode val="edge"/>
              <c:yMode val="edge"/>
              <c:x val="1.1143677133816561E-2"/>
              <c:y val="0.18746271421954608"/>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b="0"/>
            </a:pPr>
            <a:endParaRPr lang="ar-SA"/>
          </a:p>
        </c:txPr>
        <c:crossAx val="98797056"/>
        <c:crosses val="autoZero"/>
        <c:crossBetween val="between"/>
      </c:valAx>
      <c:spPr>
        <a:noFill/>
        <a:ln w="25400">
          <a:noFill/>
        </a:ln>
      </c:spPr>
    </c:plotArea>
    <c:plotVisOnly val="1"/>
    <c:dispBlanksAs val="gap"/>
    <c:showDLblsOverMax val="0"/>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0"/>
    <c:plotArea>
      <c:layout>
        <c:manualLayout>
          <c:layoutTarget val="inner"/>
          <c:xMode val="edge"/>
          <c:yMode val="edge"/>
          <c:x val="0.17052781081851318"/>
          <c:y val="0.15220930063632168"/>
          <c:w val="0.79112439920897182"/>
          <c:h val="0.60757329226835965"/>
        </c:manualLayout>
      </c:layout>
      <c:barChart>
        <c:barDir val="col"/>
        <c:grouping val="clustered"/>
        <c:varyColors val="0"/>
        <c:ser>
          <c:idx val="0"/>
          <c:order val="0"/>
          <c:tx>
            <c:strRef>
              <c:f>Sheet1!$B$1</c:f>
              <c:strCache>
                <c:ptCount val="1"/>
                <c:pt idx="0">
                  <c:v>   No. of Buildings     </c:v>
                </c:pt>
              </c:strCache>
            </c:strRef>
          </c:tx>
          <c:invertIfNegative val="0"/>
          <c:dLbls>
            <c:dLbl>
              <c:idx val="0"/>
              <c:layout>
                <c:manualLayout>
                  <c:x val="2.6900043507562892E-3"/>
                  <c:y val="4.1142458668681145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CB6-4D72-AD84-10C7FFB52354}"/>
                </c:ext>
              </c:extLst>
            </c:dLbl>
            <c:dLbl>
              <c:idx val="1"/>
              <c:layout>
                <c:manualLayout>
                  <c:x val="-2.7271137424184065E-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CB6-4D72-AD84-10C7FFB52354}"/>
                </c:ext>
              </c:extLst>
            </c:dLbl>
            <c:dLbl>
              <c:idx val="2"/>
              <c:layout>
                <c:manualLayout>
                  <c:x val="-2.7292464660768991E-3"/>
                  <c:y val="-4.1142458668681145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CB6-4D72-AD84-10C7FFB52354}"/>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Jerusalem Governorate</c:v>
                </c:pt>
                <c:pt idx="1">
                  <c:v>Area J1           </c:v>
                </c:pt>
                <c:pt idx="2">
                  <c:v>Area J2         </c:v>
                </c:pt>
              </c:strCache>
            </c:strRef>
          </c:cat>
          <c:val>
            <c:numRef>
              <c:f>Sheet1!$B$2:$B$4</c:f>
              <c:numCache>
                <c:formatCode>#,##0</c:formatCode>
                <c:ptCount val="3"/>
                <c:pt idx="0">
                  <c:v>40745</c:v>
                </c:pt>
                <c:pt idx="1">
                  <c:v>17989</c:v>
                </c:pt>
                <c:pt idx="2">
                  <c:v>22756</c:v>
                </c:pt>
              </c:numCache>
            </c:numRef>
          </c:val>
          <c:extLst>
            <c:ext xmlns:c16="http://schemas.microsoft.com/office/drawing/2014/chart" uri="{C3380CC4-5D6E-409C-BE32-E72D297353CC}">
              <c16:uniqueId val="{00000003-7CB6-4D72-AD84-10C7FFB52354}"/>
            </c:ext>
          </c:extLst>
        </c:ser>
        <c:ser>
          <c:idx val="1"/>
          <c:order val="1"/>
          <c:tx>
            <c:strRef>
              <c:f>Sheet1!$C$1</c:f>
              <c:strCache>
                <c:ptCount val="1"/>
                <c:pt idx="0">
                  <c:v>Column1</c:v>
                </c:pt>
              </c:strCache>
            </c:strRef>
          </c:tx>
          <c:invertIfNegative val="0"/>
          <c:dLbls>
            <c:dLbl>
              <c:idx val="2"/>
              <c:layout>
                <c:manualLayout>
                  <c:x val="-1.0826363492082481E-2"/>
                  <c:y val="7.522488161144402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CB6-4D72-AD84-10C7FFB52354}"/>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Jerusalem Governorate</c:v>
                </c:pt>
                <c:pt idx="1">
                  <c:v>Area J1           </c:v>
                </c:pt>
                <c:pt idx="2">
                  <c:v>Area J2         </c:v>
                </c:pt>
              </c:strCache>
            </c:strRef>
          </c:cat>
          <c:val>
            <c:numRef>
              <c:f>Sheet1!$C$2:$C$4</c:f>
              <c:numCache>
                <c:formatCode>General</c:formatCode>
                <c:ptCount val="3"/>
              </c:numCache>
            </c:numRef>
          </c:val>
          <c:extLst>
            <c:ext xmlns:c16="http://schemas.microsoft.com/office/drawing/2014/chart" uri="{C3380CC4-5D6E-409C-BE32-E72D297353CC}">
              <c16:uniqueId val="{00000005-7CB6-4D72-AD84-10C7FFB52354}"/>
            </c:ext>
          </c:extLst>
        </c:ser>
        <c:dLbls>
          <c:showLegendKey val="0"/>
          <c:showVal val="1"/>
          <c:showCatName val="0"/>
          <c:showSerName val="0"/>
          <c:showPercent val="0"/>
          <c:showBubbleSize val="0"/>
        </c:dLbls>
        <c:gapWidth val="150"/>
        <c:axId val="98880128"/>
        <c:axId val="98886400"/>
      </c:barChart>
      <c:catAx>
        <c:axId val="98880128"/>
        <c:scaling>
          <c:orientation val="minMax"/>
        </c:scaling>
        <c:delete val="0"/>
        <c:axPos val="b"/>
        <c:title>
          <c:tx>
            <c:rich>
              <a:bodyPr/>
              <a:lstStyle/>
              <a:p>
                <a:pPr>
                  <a:defRPr/>
                </a:pPr>
                <a:r>
                  <a:rPr lang="en-US" baseline="0"/>
                  <a:t>Area</a:t>
                </a:r>
                <a:endParaRPr lang="en-US"/>
              </a:p>
            </c:rich>
          </c:tx>
          <c:layout>
            <c:manualLayout>
              <c:xMode val="edge"/>
              <c:yMode val="edge"/>
              <c:x val="0.46284282488903788"/>
              <c:y val="0.90709802647979876"/>
            </c:manualLayout>
          </c:layout>
          <c:overlay val="0"/>
        </c:title>
        <c:numFmt formatCode="General" sourceLinked="0"/>
        <c:majorTickMark val="none"/>
        <c:minorTickMark val="in"/>
        <c:tickLblPos val="low"/>
        <c:txPr>
          <a:bodyPr rot="0"/>
          <a:lstStyle/>
          <a:p>
            <a:pPr>
              <a:defRPr/>
            </a:pPr>
            <a:endParaRPr lang="ar-SA"/>
          </a:p>
        </c:txPr>
        <c:crossAx val="98886400"/>
        <c:crosses val="autoZero"/>
        <c:auto val="0"/>
        <c:lblAlgn val="ctr"/>
        <c:lblOffset val="100"/>
        <c:noMultiLvlLbl val="0"/>
      </c:catAx>
      <c:valAx>
        <c:axId val="98886400"/>
        <c:scaling>
          <c:orientation val="minMax"/>
        </c:scaling>
        <c:delete val="0"/>
        <c:axPos val="l"/>
        <c:title>
          <c:tx>
            <c:rich>
              <a:bodyPr rot="-5400000" vert="horz"/>
              <a:lstStyle/>
              <a:p>
                <a:pPr>
                  <a:defRPr/>
                </a:pPr>
                <a:r>
                  <a:rPr lang="en-US" sz="800" b="1" i="0" u="none" strike="noStrike" baseline="0"/>
                  <a:t>Number</a:t>
                </a:r>
                <a:endParaRPr lang="en-US"/>
              </a:p>
            </c:rich>
          </c:tx>
          <c:layout>
            <c:manualLayout>
              <c:xMode val="edge"/>
              <c:yMode val="edge"/>
              <c:x val="2.5548026200959084E-2"/>
              <c:y val="0.29282030322227676"/>
            </c:manualLayout>
          </c:layout>
          <c:overlay val="0"/>
        </c:title>
        <c:numFmt formatCode="#,##0" sourceLinked="1"/>
        <c:majorTickMark val="out"/>
        <c:minorTickMark val="none"/>
        <c:tickLblPos val="nextTo"/>
        <c:crossAx val="98880128"/>
        <c:crosses val="autoZero"/>
        <c:crossBetween val="between"/>
      </c:valAx>
    </c:plotArea>
    <c:plotVisOnly val="1"/>
    <c:dispBlanksAs val="gap"/>
    <c:showDLblsOverMax val="0"/>
  </c:chart>
  <c:spPr>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0.15703958946273269"/>
          <c:y val="7.0195063308688493E-2"/>
          <c:w val="0.80784431205693963"/>
          <c:h val="0.67493547584546165"/>
        </c:manualLayout>
      </c:layout>
      <c:barChart>
        <c:barDir val="col"/>
        <c:grouping val="clustered"/>
        <c:varyColors val="0"/>
        <c:ser>
          <c:idx val="0"/>
          <c:order val="0"/>
          <c:tx>
            <c:strRef>
              <c:f>Sheet1!$B$1</c:f>
              <c:strCache>
                <c:ptCount val="1"/>
                <c:pt idx="0">
                  <c:v> No. of Establishments </c:v>
                </c:pt>
              </c:strCache>
            </c:strRef>
          </c:tx>
          <c:invertIfNegative val="0"/>
          <c:dLbls>
            <c:dLbl>
              <c:idx val="1"/>
              <c:layout/>
              <c:tx>
                <c:rich>
                  <a:bodyPr/>
                  <a:lstStyle/>
                  <a:p>
                    <a:r>
                      <a:rPr lang="en-US"/>
                      <a:t>4,466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943-4525-91EA-B3D48CA390C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 Jerusalem Govenorate</c:v>
                </c:pt>
                <c:pt idx="1">
                  <c:v>Area J1  </c:v>
                </c:pt>
                <c:pt idx="2">
                  <c:v>  Area J2</c:v>
                </c:pt>
              </c:strCache>
            </c:strRef>
          </c:cat>
          <c:val>
            <c:numRef>
              <c:f>Sheet1!$B$2:$B$4</c:f>
              <c:numCache>
                <c:formatCode>General</c:formatCode>
                <c:ptCount val="3"/>
                <c:pt idx="0" formatCode="#,##0">
                  <c:v>9704</c:v>
                </c:pt>
                <c:pt idx="1">
                  <c:v>4466</c:v>
                </c:pt>
                <c:pt idx="2" formatCode="#,##0">
                  <c:v>5238</c:v>
                </c:pt>
              </c:numCache>
            </c:numRef>
          </c:val>
          <c:extLst>
            <c:ext xmlns:c16="http://schemas.microsoft.com/office/drawing/2014/chart" uri="{C3380CC4-5D6E-409C-BE32-E72D297353CC}">
              <c16:uniqueId val="{00000001-D943-4525-91EA-B3D48CA390C7}"/>
            </c:ext>
          </c:extLst>
        </c:ser>
        <c:ser>
          <c:idx val="1"/>
          <c:order val="1"/>
          <c:tx>
            <c:strRef>
              <c:f>Sheet1!$C$1</c:f>
              <c:strCache>
                <c:ptCount val="1"/>
                <c:pt idx="0">
                  <c:v> No. of Employed Persons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 Jerusalem Govenorate</c:v>
                </c:pt>
                <c:pt idx="1">
                  <c:v>Area J1  </c:v>
                </c:pt>
                <c:pt idx="2">
                  <c:v>  Area J2</c:v>
                </c:pt>
              </c:strCache>
            </c:strRef>
          </c:cat>
          <c:val>
            <c:numRef>
              <c:f>Sheet1!$C$2:$C$4</c:f>
              <c:numCache>
                <c:formatCode>#,##0</c:formatCode>
                <c:ptCount val="3"/>
                <c:pt idx="0">
                  <c:v>34786</c:v>
                </c:pt>
                <c:pt idx="1">
                  <c:v>19182</c:v>
                </c:pt>
                <c:pt idx="2">
                  <c:v>15604</c:v>
                </c:pt>
              </c:numCache>
            </c:numRef>
          </c:val>
          <c:extLst>
            <c:ext xmlns:c16="http://schemas.microsoft.com/office/drawing/2014/chart" uri="{C3380CC4-5D6E-409C-BE32-E72D297353CC}">
              <c16:uniqueId val="{00000002-D943-4525-91EA-B3D48CA390C7}"/>
            </c:ext>
          </c:extLst>
        </c:ser>
        <c:dLbls>
          <c:showLegendKey val="0"/>
          <c:showVal val="1"/>
          <c:showCatName val="0"/>
          <c:showSerName val="0"/>
          <c:showPercent val="0"/>
          <c:showBubbleSize val="0"/>
        </c:dLbls>
        <c:gapWidth val="150"/>
        <c:axId val="98956416"/>
        <c:axId val="98958336"/>
      </c:barChart>
      <c:catAx>
        <c:axId val="98956416"/>
        <c:scaling>
          <c:orientation val="minMax"/>
        </c:scaling>
        <c:delete val="0"/>
        <c:axPos val="b"/>
        <c:title>
          <c:tx>
            <c:rich>
              <a:bodyPr/>
              <a:lstStyle/>
              <a:p>
                <a:pPr>
                  <a:defRPr/>
                </a:pPr>
                <a:r>
                  <a:rPr lang="en-US"/>
                  <a:t>Area </a:t>
                </a:r>
              </a:p>
            </c:rich>
          </c:tx>
          <c:layout>
            <c:manualLayout>
              <c:xMode val="edge"/>
              <c:yMode val="edge"/>
              <c:x val="0.5122806634885656"/>
              <c:y val="0.90628254919214113"/>
            </c:manualLayout>
          </c:layout>
          <c:overlay val="0"/>
        </c:title>
        <c:numFmt formatCode="General" sourceLinked="0"/>
        <c:majorTickMark val="out"/>
        <c:minorTickMark val="none"/>
        <c:tickLblPos val="nextTo"/>
        <c:crossAx val="98958336"/>
        <c:crosses val="autoZero"/>
        <c:auto val="1"/>
        <c:lblAlgn val="ctr"/>
        <c:lblOffset val="100"/>
        <c:noMultiLvlLbl val="0"/>
      </c:catAx>
      <c:valAx>
        <c:axId val="98958336"/>
        <c:scaling>
          <c:orientation val="minMax"/>
        </c:scaling>
        <c:delete val="0"/>
        <c:axPos val="l"/>
        <c:title>
          <c:tx>
            <c:rich>
              <a:bodyPr rot="-5400000" vert="horz"/>
              <a:lstStyle/>
              <a:p>
                <a:pPr>
                  <a:defRPr/>
                </a:pPr>
                <a:r>
                  <a:rPr lang="en-US"/>
                  <a:t>Number</a:t>
                </a:r>
              </a:p>
            </c:rich>
          </c:tx>
          <c:layout>
            <c:manualLayout>
              <c:xMode val="edge"/>
              <c:yMode val="edge"/>
              <c:x val="2.4046085511387746E-2"/>
              <c:y val="0.30248111226630481"/>
            </c:manualLayout>
          </c:layout>
          <c:overlay val="0"/>
        </c:title>
        <c:numFmt formatCode="#,##0" sourceLinked="1"/>
        <c:majorTickMark val="out"/>
        <c:minorTickMark val="none"/>
        <c:tickLblPos val="nextTo"/>
        <c:crossAx val="98956416"/>
        <c:crosses val="autoZero"/>
        <c:crossBetween val="between"/>
      </c:valAx>
    </c:plotArea>
    <c:legend>
      <c:legendPos val="t"/>
      <c:layout>
        <c:manualLayout>
          <c:xMode val="edge"/>
          <c:yMode val="edge"/>
          <c:x val="0.55667149532960258"/>
          <c:y val="3.6179106518507052E-2"/>
          <c:w val="0.42152428399208747"/>
          <c:h val="0.18599431769624625"/>
        </c:manualLayout>
      </c:layout>
      <c:overlay val="0"/>
      <c:spPr>
        <a:ln>
          <a:solidFill>
            <a:schemeClr val="tx1"/>
          </a:solidFill>
        </a:ln>
      </c:spPr>
    </c:legend>
    <c:plotVisOnly val="1"/>
    <c:dispBlanksAs val="gap"/>
    <c:showDLblsOverMax val="0"/>
  </c:chart>
  <c:spPr>
    <a:noFill/>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573221624065931"/>
          <c:y val="0.20045148632285129"/>
          <c:w val="0.31476755911074888"/>
          <c:h val="0.64708314079512241"/>
        </c:manualLayout>
      </c:layout>
      <c:pieChart>
        <c:varyColors val="1"/>
        <c:ser>
          <c:idx val="1"/>
          <c:order val="0"/>
          <c:spPr>
            <a:ln>
              <a:solidFill>
                <a:schemeClr val="tx1"/>
              </a:solidFill>
            </a:ln>
          </c:spPr>
          <c:explosion val="13"/>
          <c:dPt>
            <c:idx val="2"/>
            <c:bubble3D val="0"/>
            <c:explosion val="10"/>
            <c:extLst>
              <c:ext xmlns:c16="http://schemas.microsoft.com/office/drawing/2014/chart" uri="{C3380CC4-5D6E-409C-BE32-E72D297353CC}">
                <c16:uniqueId val="{00000001-CE36-4650-B437-BFC98A73C595}"/>
              </c:ext>
            </c:extLst>
          </c:dPt>
          <c:dLbls>
            <c:dLbl>
              <c:idx val="0"/>
              <c:layout>
                <c:manualLayout>
                  <c:x val="5.6918874088080712E-3"/>
                  <c:y val="0.16477735728995663"/>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CE36-4650-B437-BFC98A73C595}"/>
                </c:ext>
              </c:extLst>
            </c:dLbl>
            <c:dLbl>
              <c:idx val="1"/>
              <c:layout>
                <c:manualLayout>
                  <c:x val="-0.16910811075922474"/>
                  <c:y val="-3.6187559837697371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CE36-4650-B437-BFC98A73C595}"/>
                </c:ext>
              </c:extLst>
            </c:dLbl>
            <c:dLbl>
              <c:idx val="2"/>
              <c:layout>
                <c:manualLayout>
                  <c:x val="-0.11553637175562122"/>
                  <c:y val="-1.0383586327106101E-3"/>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CE36-4650-B437-BFC98A73C595}"/>
                </c:ext>
              </c:extLst>
            </c:dLbl>
            <c:dLbl>
              <c:idx val="3"/>
              <c:layout>
                <c:manualLayout>
                  <c:x val="-0.26680644411636045"/>
                  <c:y val="3.7592959828007082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4-CE36-4650-B437-BFC98A73C595}"/>
                </c:ext>
              </c:extLst>
            </c:dLbl>
            <c:dLbl>
              <c:idx val="4"/>
              <c:layout>
                <c:manualLayout>
                  <c:x val="-0.15668096421798716"/>
                  <c:y val="-3.8384933057763401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CE36-4650-B437-BFC98A73C595}"/>
                </c:ext>
              </c:extLst>
            </c:dLbl>
            <c:dLbl>
              <c:idx val="5"/>
              <c:layout>
                <c:manualLayout>
                  <c:x val="4.2538133268026123E-3"/>
                  <c:y val="0"/>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6-CE36-4650-B437-BFC98A73C595}"/>
                </c:ext>
              </c:extLst>
            </c:dLbl>
            <c:dLbl>
              <c:idx val="6"/>
              <c:layout>
                <c:manualLayout>
                  <c:x val="0.16881144436298179"/>
                  <c:y val="0.35404920748294288"/>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7-CE36-4650-B437-BFC98A73C595}"/>
                </c:ext>
              </c:extLst>
            </c:dLbl>
            <c:dLbl>
              <c:idx val="7"/>
              <c:layout>
                <c:manualLayout>
                  <c:x val="0.2264771713685608"/>
                  <c:y val="0.11130191632600338"/>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8-CE36-4650-B437-BFC98A73C595}"/>
                </c:ext>
              </c:extLst>
            </c:dLbl>
            <c:numFmt formatCode="0.0%" sourceLinked="0"/>
            <c:spPr>
              <a:noFill/>
              <a:ln>
                <a:noFill/>
              </a:ln>
              <a:effectLst/>
            </c:spPr>
            <c:txPr>
              <a:bodyPr/>
              <a:lstStyle/>
              <a:p>
                <a:pPr>
                  <a:defRPr lang="ar-SA">
                    <a:latin typeface="Arial" pitchFamily="34" charset="0"/>
                    <a:cs typeface="Arial" pitchFamily="34" charset="0"/>
                  </a:defRPr>
                </a:pPr>
                <a:endParaRPr lang="ar-SA"/>
              </a:p>
            </c:txPr>
            <c:showLegendKey val="0"/>
            <c:showVal val="0"/>
            <c:showCatName val="1"/>
            <c:showSerName val="0"/>
            <c:showPercent val="1"/>
            <c:showBubbleSize val="0"/>
            <c:showLeaderLines val="1"/>
            <c:extLst>
              <c:ext xmlns:c15="http://schemas.microsoft.com/office/drawing/2012/chart" uri="{CE6537A1-D6FC-4f65-9D91-7224C49458BB}"/>
            </c:extLst>
          </c:dLbls>
          <c:cat>
            <c:strRef>
              <c:f>Sheet1!$B$1:$I$1</c:f>
              <c:strCache>
                <c:ptCount val="8"/>
                <c:pt idx="0">
                  <c:v>   
 Services  </c:v>
                </c:pt>
                <c:pt idx="1">
                  <c:v>
Public Administration and Defence </c:v>
                </c:pt>
                <c:pt idx="2">
                  <c:v>
Wholesale and Retail Trade </c:v>
                </c:pt>
                <c:pt idx="3">
                  <c:v>Mining Manufacturing,  Water and Electricity  </c:v>
                </c:pt>
                <c:pt idx="4">
                  <c:v>
Construction  </c:v>
                </c:pt>
                <c:pt idx="5">
                  <c:v> 
Transportation and Storage </c:v>
                </c:pt>
                <c:pt idx="6">
                  <c:v>Information and Communication</c:v>
                </c:pt>
                <c:pt idx="7">
                  <c:v>Agriculture and Fishing</c:v>
                </c:pt>
              </c:strCache>
            </c:strRef>
          </c:cat>
          <c:val>
            <c:numRef>
              <c:f>Sheet1!$B$2:$I$2</c:f>
              <c:numCache>
                <c:formatCode>0.0%</c:formatCode>
                <c:ptCount val="8"/>
                <c:pt idx="0">
                  <c:v>0.51</c:v>
                </c:pt>
                <c:pt idx="1">
                  <c:v>6.0073590147931212E-4</c:v>
                </c:pt>
                <c:pt idx="2">
                  <c:v>0.28199999999999997</c:v>
                </c:pt>
                <c:pt idx="3">
                  <c:v>0.17399999999999999</c:v>
                </c:pt>
                <c:pt idx="4">
                  <c:v>2.5999999999999999E-2</c:v>
                </c:pt>
                <c:pt idx="5">
                  <c:v>4.0000000000000001E-3</c:v>
                </c:pt>
                <c:pt idx="6">
                  <c:v>1.1263798152737104E-3</c:v>
                </c:pt>
                <c:pt idx="7">
                  <c:v>1.9523916798077645E-3</c:v>
                </c:pt>
              </c:numCache>
            </c:numRef>
          </c:val>
          <c:extLst>
            <c:ext xmlns:c16="http://schemas.microsoft.com/office/drawing/2014/chart" uri="{C3380CC4-5D6E-409C-BE32-E72D297353CC}">
              <c16:uniqueId val="{00000009-CE36-4650-B437-BFC98A73C595}"/>
            </c:ext>
          </c:extLst>
        </c:ser>
        <c:dLbls>
          <c:showLegendKey val="0"/>
          <c:showVal val="1"/>
          <c:showCatName val="0"/>
          <c:showSerName val="0"/>
          <c:showPercent val="0"/>
          <c:showBubbleSize val="0"/>
          <c:showLeaderLines val="1"/>
        </c:dLbls>
        <c:firstSliceAng val="33"/>
      </c:pieChart>
    </c:plotArea>
    <c:plotVisOnly val="1"/>
    <c:dispBlanksAs val="zero"/>
    <c:showDLblsOverMax val="0"/>
  </c:chart>
  <c:spPr>
    <a:ln>
      <a:noFill/>
    </a:ln>
  </c:spPr>
  <c:txPr>
    <a:bodyPr/>
    <a:lstStyle/>
    <a:p>
      <a:pPr>
        <a:defRPr sz="800"/>
      </a:pPr>
      <a:endParaRPr lang="ar-SA"/>
    </a:p>
  </c:tx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770186335403742"/>
          <c:y val="6.3347179006444404E-2"/>
          <c:w val="0.81366459627332965"/>
          <c:h val="0.6678782275544114"/>
        </c:manualLayout>
      </c:layout>
      <c:barChart>
        <c:barDir val="col"/>
        <c:grouping val="clustered"/>
        <c:varyColors val="0"/>
        <c:ser>
          <c:idx val="0"/>
          <c:order val="0"/>
          <c:tx>
            <c:strRef>
              <c:f>Sheet1!$A$2</c:f>
              <c:strCache>
                <c:ptCount val="1"/>
                <c:pt idx="0">
                  <c:v>East</c:v>
                </c:pt>
              </c:strCache>
            </c:strRef>
          </c:tx>
          <c:spPr>
            <a:solidFill>
              <a:srgbClr val="9999FF"/>
            </a:solidFill>
            <a:ln w="12683">
              <a:solidFill>
                <a:srgbClr val="000000"/>
              </a:solidFill>
              <a:prstDash val="solid"/>
            </a:ln>
          </c:spPr>
          <c:invertIfNegative val="0"/>
          <c:dLbls>
            <c:dLbl>
              <c:idx val="0"/>
              <c:layout/>
              <c:tx>
                <c:rich>
                  <a:bodyPr/>
                  <a:lstStyle/>
                  <a:p>
                    <a:r>
                      <a:rPr lang="en-US"/>
                      <a:t>2,249.8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112-44DC-835C-00FA314A831D}"/>
                </c:ext>
              </c:extLst>
            </c:dLbl>
            <c:dLbl>
              <c:idx val="1"/>
              <c:layout/>
              <c:tx>
                <c:rich>
                  <a:bodyPr/>
                  <a:lstStyle/>
                  <a:p>
                    <a:r>
                      <a:rPr lang="en-US"/>
                      <a:t>1,830.8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112-44DC-835C-00FA314A831D}"/>
                </c:ext>
              </c:extLst>
            </c:dLbl>
            <c:dLbl>
              <c:idx val="2"/>
              <c:layout/>
              <c:tx>
                <c:rich>
                  <a:bodyPr/>
                  <a:lstStyle/>
                  <a:p>
                    <a:r>
                      <a:rPr lang="en-US"/>
                      <a:t>418.9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112-44DC-835C-00FA314A831D}"/>
                </c:ext>
              </c:extLst>
            </c:dLbl>
            <c:numFmt formatCode="#,##0.0" sourceLinked="0"/>
            <c:spPr>
              <a:noFill/>
              <a:ln w="25366">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  Output</c:v>
                </c:pt>
                <c:pt idx="1">
                  <c:v> Gross Value Added</c:v>
                </c:pt>
                <c:pt idx="2">
                  <c:v> Intermediate Consumption</c:v>
                </c:pt>
              </c:strCache>
            </c:strRef>
          </c:cat>
          <c:val>
            <c:numRef>
              <c:f>Sheet1!$B$2:$D$2</c:f>
              <c:numCache>
                <c:formatCode>#,##0.00</c:formatCode>
                <c:ptCount val="3"/>
                <c:pt idx="0" formatCode="####.00">
                  <c:v>2051.8000000000002</c:v>
                </c:pt>
                <c:pt idx="1">
                  <c:v>1733.4</c:v>
                </c:pt>
                <c:pt idx="2" formatCode="General">
                  <c:v>318.39999999999969</c:v>
                </c:pt>
              </c:numCache>
            </c:numRef>
          </c:val>
          <c:extLst>
            <c:ext xmlns:c16="http://schemas.microsoft.com/office/drawing/2014/chart" uri="{C3380CC4-5D6E-409C-BE32-E72D297353CC}">
              <c16:uniqueId val="{00000003-8112-44DC-835C-00FA314A831D}"/>
            </c:ext>
          </c:extLst>
        </c:ser>
        <c:dLbls>
          <c:showLegendKey val="0"/>
          <c:showVal val="0"/>
          <c:showCatName val="0"/>
          <c:showSerName val="0"/>
          <c:showPercent val="0"/>
          <c:showBubbleSize val="0"/>
        </c:dLbls>
        <c:gapWidth val="150"/>
        <c:axId val="143629696"/>
        <c:axId val="143644160"/>
      </c:barChart>
      <c:catAx>
        <c:axId val="143629696"/>
        <c:scaling>
          <c:orientation val="minMax"/>
        </c:scaling>
        <c:delete val="0"/>
        <c:axPos val="b"/>
        <c:title>
          <c:tx>
            <c:rich>
              <a:bodyPr/>
              <a:lstStyle/>
              <a:p>
                <a:pPr>
                  <a:defRPr b="1"/>
                </a:pPr>
                <a:r>
                  <a:rPr lang="en-US" b="1"/>
                  <a:t>Indicator</a:t>
                </a:r>
              </a:p>
            </c:rich>
          </c:tx>
          <c:layout>
            <c:manualLayout>
              <c:xMode val="edge"/>
              <c:yMode val="edge"/>
              <c:x val="0.47672672817738282"/>
              <c:y val="0.88498069110787903"/>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ar-SA"/>
          </a:p>
        </c:txPr>
        <c:crossAx val="143644160"/>
        <c:crosses val="autoZero"/>
        <c:auto val="1"/>
        <c:lblAlgn val="ctr"/>
        <c:lblOffset val="100"/>
        <c:tickLblSkip val="1"/>
        <c:tickMarkSkip val="1"/>
        <c:noMultiLvlLbl val="0"/>
      </c:catAx>
      <c:valAx>
        <c:axId val="143644160"/>
        <c:scaling>
          <c:orientation val="minMax"/>
        </c:scaling>
        <c:delete val="0"/>
        <c:axPos val="l"/>
        <c:title>
          <c:tx>
            <c:rich>
              <a:bodyPr/>
              <a:lstStyle/>
              <a:p>
                <a:pPr>
                  <a:defRPr b="1"/>
                </a:pPr>
                <a:r>
                  <a:rPr lang="en-US" b="1"/>
                  <a:t>Value</a:t>
                </a:r>
              </a:p>
            </c:rich>
          </c:tx>
          <c:layout>
            <c:manualLayout>
              <c:xMode val="edge"/>
              <c:yMode val="edge"/>
              <c:x val="6.2111801242239134E-3"/>
              <c:y val="0.30434782608695682"/>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a:pPr>
            <a:endParaRPr lang="ar-SA"/>
          </a:p>
        </c:txPr>
        <c:crossAx val="143629696"/>
        <c:crosses val="autoZero"/>
        <c:crossBetween val="between"/>
      </c:valAx>
      <c:spPr>
        <a:noFill/>
        <a:ln w="25366">
          <a:noFill/>
        </a:ln>
      </c:spPr>
    </c:plotArea>
    <c:plotVisOnly val="1"/>
    <c:dispBlanksAs val="gap"/>
    <c:showDLblsOverMax val="0"/>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drawings/drawing1.xml><?xml version="1.0" encoding="utf-8"?>
<c:userShapes xmlns:c="http://schemas.openxmlformats.org/drawingml/2006/chart">
  <cdr:relSizeAnchor xmlns:cdr="http://schemas.openxmlformats.org/drawingml/2006/chartDrawing">
    <cdr:from>
      <cdr:x>0.49975</cdr:x>
      <cdr:y>0.49</cdr:y>
    </cdr:from>
    <cdr:to>
      <cdr:x>0.5095</cdr:x>
      <cdr:y>0.543</cdr:y>
    </cdr:to>
    <cdr:sp macro="" textlink="">
      <cdr:nvSpPr>
        <cdr:cNvPr id="1025" name="Text Box 1"/>
        <cdr:cNvSpPr txBox="1">
          <a:spLocks xmlns:a="http://schemas.openxmlformats.org/drawingml/2006/main" noChangeArrowheads="1"/>
        </cdr:cNvSpPr>
      </cdr:nvSpPr>
      <cdr:spPr bwMode="auto">
        <a:xfrm xmlns:a="http://schemas.openxmlformats.org/drawingml/2006/main">
          <a:off x="2456221" y="1498187"/>
          <a:ext cx="47921" cy="16204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2F089-593D-4B0E-8492-49841176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10</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YOUSEF</dc:creator>
  <cp:lastModifiedBy>Maen Salhab</cp:lastModifiedBy>
  <cp:revision>92</cp:revision>
  <cp:lastPrinted>2021-06-17T08:33:00Z</cp:lastPrinted>
  <dcterms:created xsi:type="dcterms:W3CDTF">2020-07-14T09:07:00Z</dcterms:created>
  <dcterms:modified xsi:type="dcterms:W3CDTF">2021-06-17T08:40:00Z</dcterms:modified>
</cp:coreProperties>
</file>